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3B6" w:rsidRDefault="008463B6" w:rsidP="008463B6">
      <w:pPr>
        <w:rPr>
          <w:rFonts w:ascii="Bookman Old Style" w:eastAsia="Bookman Old Style" w:hAnsi="Bookman Old Style" w:cs="Bookman Old Style"/>
          <w:b/>
          <w:lang w:eastAsia="es-AR"/>
        </w:rPr>
      </w:pPr>
    </w:p>
    <w:p w:rsidR="008463B6" w:rsidRPr="00171777" w:rsidRDefault="008463B6" w:rsidP="008463B6">
      <w:pPr>
        <w:jc w:val="center"/>
        <w:rPr>
          <w:rFonts w:ascii="Bookman Old Style" w:eastAsia="Bookman Old Style" w:hAnsi="Bookman Old Style" w:cs="Bookman Old Style"/>
          <w:b/>
          <w:lang w:eastAsia="es-AR"/>
        </w:rPr>
      </w:pPr>
    </w:p>
    <w:p w:rsidR="008463B6" w:rsidRPr="008463B6" w:rsidRDefault="008463B6" w:rsidP="008463B6">
      <w:pPr>
        <w:tabs>
          <w:tab w:val="center" w:pos="4419"/>
          <w:tab w:val="right" w:pos="8838"/>
        </w:tabs>
        <w:jc w:val="center"/>
        <w:rPr>
          <w:b/>
          <w:sz w:val="52"/>
          <w:szCs w:val="52"/>
          <w:lang w:val="es-ES" w:eastAsia="es-AR"/>
        </w:rPr>
      </w:pPr>
      <w:bookmarkStart w:id="0" w:name="_Hlk211203071"/>
      <w:r w:rsidRPr="008463B6">
        <w:rPr>
          <w:b/>
          <w:sz w:val="52"/>
          <w:szCs w:val="52"/>
          <w:lang w:val="es-ES" w:eastAsia="es-AR"/>
        </w:rPr>
        <w:t>PODER EJECUTIVO DE LA PROVINCIA DE JUJUY</w:t>
      </w:r>
    </w:p>
    <w:p w:rsidR="008463B6" w:rsidRDefault="008463B6" w:rsidP="008463B6">
      <w:pPr>
        <w:tabs>
          <w:tab w:val="center" w:pos="4419"/>
          <w:tab w:val="right" w:pos="8838"/>
        </w:tabs>
        <w:jc w:val="center"/>
        <w:rPr>
          <w:b/>
          <w:sz w:val="52"/>
          <w:szCs w:val="52"/>
          <w:lang w:eastAsia="es-AR"/>
        </w:rPr>
      </w:pPr>
      <w:r>
        <w:rPr>
          <w:b/>
          <w:noProof/>
          <w:sz w:val="52"/>
          <w:szCs w:val="52"/>
        </w:rPr>
        <w:drawing>
          <wp:inline distT="0" distB="0" distL="0" distR="0" wp14:anchorId="6D096890" wp14:editId="1CFD3BD9">
            <wp:extent cx="2152650" cy="2124075"/>
            <wp:effectExtent l="0" t="0" r="0" b="9525"/>
            <wp:docPr id="14051923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52650" cy="2124075"/>
                    </a:xfrm>
                    <a:prstGeom prst="rect">
                      <a:avLst/>
                    </a:prstGeom>
                    <a:noFill/>
                  </pic:spPr>
                </pic:pic>
              </a:graphicData>
            </a:graphic>
          </wp:inline>
        </w:drawing>
      </w:r>
    </w:p>
    <w:p w:rsidR="008463B6" w:rsidRPr="00E555F2" w:rsidRDefault="008463B6" w:rsidP="008463B6">
      <w:pPr>
        <w:tabs>
          <w:tab w:val="center" w:pos="4419"/>
          <w:tab w:val="right" w:pos="8838"/>
        </w:tabs>
        <w:jc w:val="center"/>
        <w:rPr>
          <w:b/>
          <w:sz w:val="52"/>
          <w:szCs w:val="52"/>
          <w:lang w:eastAsia="es-AR"/>
        </w:rPr>
      </w:pPr>
    </w:p>
    <w:p w:rsidR="008463B6" w:rsidRPr="008463B6" w:rsidRDefault="008463B6" w:rsidP="008463B6">
      <w:pPr>
        <w:tabs>
          <w:tab w:val="center" w:pos="4419"/>
          <w:tab w:val="right" w:pos="8838"/>
        </w:tabs>
        <w:jc w:val="center"/>
        <w:rPr>
          <w:b/>
          <w:sz w:val="52"/>
          <w:szCs w:val="52"/>
          <w:lang w:val="es-ES" w:eastAsia="es-AR"/>
        </w:rPr>
      </w:pPr>
      <w:r w:rsidRPr="008463B6">
        <w:rPr>
          <w:b/>
          <w:sz w:val="52"/>
          <w:szCs w:val="52"/>
          <w:lang w:val="es-ES" w:eastAsia="es-AR"/>
        </w:rPr>
        <w:t>MINISTERIO DE   HACIENDA Y FINANZAS</w:t>
      </w:r>
    </w:p>
    <w:p w:rsidR="008463B6" w:rsidRPr="008463B6" w:rsidRDefault="008463B6" w:rsidP="008463B6">
      <w:pPr>
        <w:tabs>
          <w:tab w:val="center" w:pos="4419"/>
          <w:tab w:val="right" w:pos="8838"/>
        </w:tabs>
        <w:jc w:val="center"/>
        <w:rPr>
          <w:b/>
          <w:sz w:val="52"/>
          <w:szCs w:val="52"/>
          <w:lang w:val="es-ES" w:eastAsia="es-AR"/>
        </w:rPr>
      </w:pPr>
    </w:p>
    <w:p w:rsidR="008463B6" w:rsidRPr="008463B6" w:rsidRDefault="008463B6" w:rsidP="008463B6">
      <w:pPr>
        <w:tabs>
          <w:tab w:val="center" w:pos="4419"/>
          <w:tab w:val="right" w:pos="8838"/>
        </w:tabs>
        <w:jc w:val="center"/>
        <w:rPr>
          <w:b/>
          <w:sz w:val="52"/>
          <w:szCs w:val="52"/>
          <w:lang w:val="es-ES" w:eastAsia="es-AR"/>
        </w:rPr>
      </w:pPr>
      <w:r w:rsidRPr="008463B6">
        <w:rPr>
          <w:b/>
          <w:sz w:val="52"/>
          <w:szCs w:val="52"/>
          <w:lang w:val="es-ES" w:eastAsia="es-AR"/>
        </w:rPr>
        <w:t>SECRETARÍA DE INGRESOS PÚBLICOS</w:t>
      </w:r>
    </w:p>
    <w:p w:rsidR="008463B6" w:rsidRPr="008463B6" w:rsidRDefault="008463B6" w:rsidP="008463B6">
      <w:pPr>
        <w:tabs>
          <w:tab w:val="center" w:pos="4419"/>
          <w:tab w:val="right" w:pos="8838"/>
        </w:tabs>
        <w:jc w:val="center"/>
        <w:rPr>
          <w:b/>
          <w:sz w:val="52"/>
          <w:szCs w:val="52"/>
          <w:lang w:val="es-ES" w:eastAsia="es-AR"/>
        </w:rPr>
      </w:pPr>
      <w:r w:rsidRPr="008463B6">
        <w:rPr>
          <w:b/>
          <w:sz w:val="52"/>
          <w:szCs w:val="52"/>
          <w:lang w:val="es-ES" w:eastAsia="es-AR"/>
        </w:rPr>
        <w:t>OFICINA DE CRÉDITO PÚBLICO</w:t>
      </w:r>
    </w:p>
    <w:bookmarkEnd w:id="0"/>
    <w:p w:rsidR="008463B6" w:rsidRPr="00E555F2" w:rsidRDefault="008463B6" w:rsidP="008463B6">
      <w:pPr>
        <w:pStyle w:val="Textoindependiente31"/>
        <w:widowControl/>
        <w:spacing w:before="0"/>
        <w:ind w:left="-709" w:right="-851"/>
        <w:jc w:val="center"/>
        <w:rPr>
          <w:i/>
          <w:iCs/>
          <w:sz w:val="52"/>
          <w:szCs w:val="52"/>
        </w:rPr>
      </w:pPr>
    </w:p>
    <w:p w:rsidR="008463B6" w:rsidRDefault="008463B6" w:rsidP="008463B6">
      <w:pPr>
        <w:pStyle w:val="texto-articulo"/>
        <w:shd w:val="clear" w:color="auto" w:fill="FFFFFF"/>
        <w:spacing w:before="0" w:beforeAutospacing="0" w:after="150" w:afterAutospacing="0"/>
        <w:jc w:val="center"/>
        <w:rPr>
          <w:b/>
          <w:bCs/>
          <w:color w:val="141414"/>
          <w:spacing w:val="-3"/>
          <w:sz w:val="28"/>
          <w:szCs w:val="28"/>
          <w:u w:val="single"/>
        </w:rPr>
      </w:pPr>
    </w:p>
    <w:p w:rsidR="008463B6" w:rsidRDefault="008463B6" w:rsidP="008463B6">
      <w:pPr>
        <w:pStyle w:val="texto-articulo"/>
        <w:shd w:val="clear" w:color="auto" w:fill="FFFFFF"/>
        <w:spacing w:before="0" w:beforeAutospacing="0" w:after="150" w:afterAutospacing="0"/>
        <w:jc w:val="center"/>
        <w:rPr>
          <w:b/>
          <w:bCs/>
          <w:color w:val="141414"/>
          <w:spacing w:val="-3"/>
          <w:sz w:val="28"/>
          <w:szCs w:val="28"/>
          <w:u w:val="single"/>
        </w:rPr>
      </w:pPr>
    </w:p>
    <w:p w:rsidR="008463B6" w:rsidRDefault="008463B6" w:rsidP="008463B6">
      <w:pPr>
        <w:pStyle w:val="texto-articulo"/>
        <w:shd w:val="clear" w:color="auto" w:fill="FFFFFF"/>
        <w:spacing w:before="0" w:beforeAutospacing="0" w:after="150" w:afterAutospacing="0"/>
        <w:jc w:val="center"/>
        <w:rPr>
          <w:b/>
          <w:bCs/>
          <w:color w:val="141414"/>
          <w:spacing w:val="-3"/>
          <w:sz w:val="28"/>
          <w:szCs w:val="28"/>
          <w:u w:val="single"/>
        </w:rPr>
      </w:pPr>
    </w:p>
    <w:p w:rsidR="008463B6" w:rsidRDefault="008463B6" w:rsidP="008463B6">
      <w:pPr>
        <w:pStyle w:val="texto-articulo"/>
        <w:shd w:val="clear" w:color="auto" w:fill="FFFFFF"/>
        <w:spacing w:before="0" w:beforeAutospacing="0" w:after="150" w:afterAutospacing="0"/>
        <w:jc w:val="center"/>
        <w:rPr>
          <w:b/>
          <w:bCs/>
          <w:color w:val="141414"/>
          <w:spacing w:val="-3"/>
          <w:sz w:val="28"/>
          <w:szCs w:val="28"/>
          <w:u w:val="single"/>
        </w:rPr>
      </w:pPr>
    </w:p>
    <w:p w:rsidR="008463B6" w:rsidRPr="00AB3088" w:rsidRDefault="008463B6" w:rsidP="008463B6">
      <w:pPr>
        <w:pStyle w:val="texto-articulo"/>
        <w:shd w:val="clear" w:color="auto" w:fill="FFFFFF"/>
        <w:spacing w:before="0" w:beforeAutospacing="0" w:after="150" w:afterAutospacing="0"/>
        <w:jc w:val="center"/>
        <w:rPr>
          <w:b/>
          <w:bCs/>
          <w:color w:val="141414"/>
          <w:spacing w:val="-3"/>
          <w:sz w:val="28"/>
          <w:szCs w:val="28"/>
          <w:u w:val="single"/>
        </w:rPr>
      </w:pPr>
      <w:r>
        <w:rPr>
          <w:b/>
          <w:bCs/>
          <w:color w:val="141414"/>
          <w:spacing w:val="-3"/>
          <w:sz w:val="28"/>
          <w:szCs w:val="28"/>
          <w:u w:val="single"/>
        </w:rPr>
        <w:lastRenderedPageBreak/>
        <w:t>NORMATIVA BÁSICA</w:t>
      </w:r>
      <w:r w:rsidRPr="00AB3088">
        <w:rPr>
          <w:b/>
          <w:bCs/>
          <w:color w:val="141414"/>
          <w:spacing w:val="-3"/>
          <w:sz w:val="28"/>
          <w:szCs w:val="28"/>
          <w:u w:val="single"/>
        </w:rPr>
        <w:t xml:space="preserve"> SOBRE CRÉDITO PÚBLICO EN LA PROVINCIA DE JUJUY</w:t>
      </w:r>
    </w:p>
    <w:p w:rsidR="0004377E" w:rsidRPr="008463B6" w:rsidRDefault="0004377E" w:rsidP="0004377E">
      <w:pPr>
        <w:pStyle w:val="NormalWeb"/>
        <w:spacing w:line="360" w:lineRule="atLeast"/>
        <w:ind w:right="49"/>
        <w:rPr>
          <w:color w:val="000000"/>
          <w:lang w:val="es-AR"/>
        </w:rPr>
      </w:pPr>
    </w:p>
    <w:p w:rsidR="0004377E" w:rsidRPr="008463B6" w:rsidRDefault="0004377E" w:rsidP="0004377E">
      <w:pPr>
        <w:pStyle w:val="NormalWeb"/>
        <w:spacing w:line="360" w:lineRule="atLeast"/>
        <w:ind w:right="49"/>
        <w:jc w:val="both"/>
        <w:rPr>
          <w:b/>
          <w:color w:val="000000"/>
          <w:sz w:val="28"/>
          <w:szCs w:val="28"/>
          <w:lang w:val="es-ES"/>
        </w:rPr>
      </w:pPr>
      <w:r w:rsidRPr="008463B6">
        <w:rPr>
          <w:b/>
          <w:color w:val="000000"/>
          <w:sz w:val="28"/>
          <w:szCs w:val="28"/>
          <w:lang w:val="es-ES"/>
        </w:rPr>
        <w:t>Decreto 1731/2004 -</w:t>
      </w:r>
      <w:r w:rsidRPr="008463B6">
        <w:rPr>
          <w:b/>
          <w:color w:val="000000"/>
          <w:sz w:val="28"/>
          <w:szCs w:val="28"/>
          <w:lang w:val="es-ES"/>
        </w:rPr>
        <w:t>Reglamentación de la Ley Nº 25.917</w:t>
      </w:r>
      <w:r w:rsidRPr="008463B6">
        <w:rPr>
          <w:b/>
          <w:sz w:val="28"/>
          <w:szCs w:val="28"/>
          <w:lang w:val="es-ES"/>
        </w:rPr>
        <w:t xml:space="preserve"> </w:t>
      </w:r>
      <w:r w:rsidRPr="008463B6">
        <w:rPr>
          <w:b/>
          <w:color w:val="000000"/>
          <w:sz w:val="28"/>
          <w:szCs w:val="28"/>
          <w:lang w:val="es-ES"/>
        </w:rPr>
        <w:t>REGIMEN FEDERAL DE RESPONSABILIDAD FISCAL</w:t>
      </w:r>
    </w:p>
    <w:p w:rsidR="0004377E" w:rsidRPr="008463B6" w:rsidRDefault="0004377E" w:rsidP="008463B6">
      <w:pPr>
        <w:pStyle w:val="NormalWeb"/>
        <w:spacing w:line="360" w:lineRule="atLeast"/>
        <w:ind w:right="49"/>
        <w:jc w:val="both"/>
        <w:rPr>
          <w:color w:val="000000"/>
          <w:lang w:val="es-ES"/>
        </w:rPr>
      </w:pPr>
      <w:r w:rsidRPr="008463B6">
        <w:rPr>
          <w:b/>
          <w:color w:val="000000"/>
          <w:lang w:val="es-ES"/>
        </w:rPr>
        <w:t>ARTICULO 7º.-</w:t>
      </w:r>
      <w:r w:rsidRPr="008463B6">
        <w:rPr>
          <w:color w:val="000000"/>
          <w:lang w:val="es-ES"/>
        </w:rPr>
        <w:t xml:space="preserve"> A los fines de la elaboración y publicación por parte del MINISTERIO DE ECONOMIA Y PRODUCCION, las Provincias y la CIUDAD AUTONOMA DE BUENOS AIRES remitirán a la SECRETARIA DE HACIENDA de dicho Ministerio, la sig</w:t>
      </w:r>
      <w:r w:rsidRPr="008463B6">
        <w:rPr>
          <w:color w:val="000000"/>
          <w:lang w:val="es-ES"/>
        </w:rPr>
        <w:t>uiente información:</w:t>
      </w:r>
    </w:p>
    <w:p w:rsidR="0004377E" w:rsidRPr="008463B6" w:rsidRDefault="0004377E" w:rsidP="008463B6">
      <w:pPr>
        <w:pStyle w:val="NormalWeb"/>
        <w:spacing w:line="360" w:lineRule="atLeast"/>
        <w:ind w:right="49"/>
        <w:jc w:val="both"/>
        <w:rPr>
          <w:color w:val="000000"/>
          <w:lang w:val="es-ES"/>
        </w:rPr>
      </w:pPr>
      <w:r w:rsidRPr="008463B6">
        <w:rPr>
          <w:b/>
          <w:color w:val="000000"/>
          <w:lang w:val="es-ES"/>
        </w:rPr>
        <w:t>b)</w:t>
      </w:r>
      <w:r w:rsidRPr="008463B6">
        <w:rPr>
          <w:color w:val="000000"/>
          <w:lang w:val="es-ES"/>
        </w:rPr>
        <w:t xml:space="preserve"> Stock de la deuda pública trimestral y los servicios financieros de la misma, a la que habrá que adicionarle la deuda flotante, de acuerdo al </w:t>
      </w:r>
      <w:r w:rsidRPr="008463B6">
        <w:rPr>
          <w:b/>
          <w:color w:val="000000"/>
          <w:lang w:val="es-ES"/>
        </w:rPr>
        <w:t>Anexo II</w:t>
      </w:r>
      <w:r w:rsidRPr="008463B6">
        <w:rPr>
          <w:color w:val="000000"/>
          <w:lang w:val="es-ES"/>
        </w:rPr>
        <w:t xml:space="preserve"> que forma parte de la presente reglamentación.</w:t>
      </w:r>
    </w:p>
    <w:p w:rsidR="0004377E" w:rsidRPr="008463B6" w:rsidRDefault="0004377E" w:rsidP="008463B6">
      <w:pPr>
        <w:pStyle w:val="NormalWeb"/>
        <w:spacing w:line="360" w:lineRule="atLeast"/>
        <w:ind w:right="49"/>
        <w:jc w:val="both"/>
        <w:rPr>
          <w:color w:val="000000"/>
          <w:lang w:val="es-ES"/>
        </w:rPr>
      </w:pPr>
      <w:r w:rsidRPr="008463B6">
        <w:rPr>
          <w:noProof/>
        </w:rPr>
        <w:drawing>
          <wp:inline distT="0" distB="0" distL="0" distR="0" wp14:anchorId="29500E8A" wp14:editId="4E3DFA83">
            <wp:extent cx="5612130" cy="3705306"/>
            <wp:effectExtent l="0" t="0" r="7620" b="9525"/>
            <wp:docPr id="1" name="Imagen 1" descr="https://servicios.infoleg.gob.ar/infolegInternet/anexos/100000-104999/101791/dto1731-9-12-20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rvicios.infoleg.gob.ar/infolegInternet/anexos/100000-104999/101791/dto1731-9-12-2004-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705306"/>
                    </a:xfrm>
                    <a:prstGeom prst="rect">
                      <a:avLst/>
                    </a:prstGeom>
                    <a:noFill/>
                    <a:ln>
                      <a:noFill/>
                    </a:ln>
                  </pic:spPr>
                </pic:pic>
              </a:graphicData>
            </a:graphic>
          </wp:inline>
        </w:drawing>
      </w:r>
    </w:p>
    <w:p w:rsidR="0004377E" w:rsidRPr="008463B6" w:rsidRDefault="0004377E" w:rsidP="008463B6">
      <w:pPr>
        <w:pStyle w:val="NormalWeb"/>
        <w:spacing w:line="360" w:lineRule="atLeast"/>
        <w:ind w:right="49"/>
        <w:jc w:val="both"/>
        <w:rPr>
          <w:color w:val="000000"/>
          <w:lang w:val="es-ES"/>
        </w:rPr>
      </w:pPr>
    </w:p>
    <w:p w:rsidR="0004377E" w:rsidRPr="008463B6" w:rsidRDefault="0004377E" w:rsidP="008463B6">
      <w:pPr>
        <w:pStyle w:val="NormalWeb"/>
        <w:spacing w:line="360" w:lineRule="atLeast"/>
        <w:ind w:right="49"/>
        <w:jc w:val="both"/>
        <w:rPr>
          <w:color w:val="000000"/>
          <w:lang w:val="es-ES"/>
        </w:rPr>
      </w:pPr>
    </w:p>
    <w:p w:rsidR="0004377E" w:rsidRPr="008463B6" w:rsidRDefault="0004377E" w:rsidP="008463B6">
      <w:pPr>
        <w:pStyle w:val="NormalWeb"/>
        <w:spacing w:line="360" w:lineRule="atLeast"/>
        <w:ind w:right="49"/>
        <w:jc w:val="both"/>
        <w:rPr>
          <w:color w:val="000000"/>
          <w:lang w:val="es-ES"/>
        </w:rPr>
      </w:pPr>
      <w:r w:rsidRPr="008463B6">
        <w:rPr>
          <w:b/>
          <w:color w:val="000000"/>
          <w:lang w:val="es-ES"/>
        </w:rPr>
        <w:lastRenderedPageBreak/>
        <w:t>ARTICULO 23.-</w:t>
      </w:r>
      <w:r w:rsidRPr="008463B6">
        <w:rPr>
          <w:color w:val="000000"/>
          <w:lang w:val="es-ES"/>
        </w:rPr>
        <w:t xml:space="preserve"> Los registros de avales y garantías otorgados que deberán implementar el GOBIERNO NACIONAL, los Gobiernos Provinciales y la CIUDAD AUTONOMA DE BUENOS AIRES deberán identificar los beneficiarios, consignándose aquellos casos en los cuales, en cumplimiento de las obligaciones asumidas, se efectúen pagos. Los registros contendrán como mínimo las características que se precisan en el </w:t>
      </w:r>
      <w:r w:rsidRPr="008463B6">
        <w:rPr>
          <w:b/>
          <w:color w:val="000000"/>
          <w:lang w:val="es-ES"/>
        </w:rPr>
        <w:t>Anexo IV</w:t>
      </w:r>
      <w:r w:rsidRPr="008463B6">
        <w:rPr>
          <w:color w:val="000000"/>
          <w:lang w:val="es-ES"/>
        </w:rPr>
        <w:t xml:space="preserve"> de la presente reglamentación. Una síntesis de dicho registro deberá presentarse en oportunidad de elevar los Proyectos de Presupuestos a las correspondientes legislaturas.</w:t>
      </w:r>
    </w:p>
    <w:p w:rsidR="0004377E" w:rsidRPr="008463B6" w:rsidRDefault="0004377E" w:rsidP="008463B6">
      <w:pPr>
        <w:pStyle w:val="NormalWeb"/>
        <w:spacing w:line="360" w:lineRule="atLeast"/>
        <w:ind w:right="49"/>
        <w:jc w:val="both"/>
        <w:rPr>
          <w:color w:val="000000"/>
          <w:lang w:val="es-ES"/>
        </w:rPr>
      </w:pPr>
      <w:r w:rsidRPr="008463B6">
        <w:rPr>
          <w:noProof/>
        </w:rPr>
        <w:drawing>
          <wp:inline distT="0" distB="0" distL="0" distR="0" wp14:anchorId="6D7D897B" wp14:editId="5DDD3EC9">
            <wp:extent cx="5612130" cy="1070771"/>
            <wp:effectExtent l="0" t="0" r="7620" b="0"/>
            <wp:docPr id="2" name="Imagen 2" descr="https://servicios.infoleg.gob.ar/infolegInternet/anexos/100000-104999/101791/dto1731-9-12-20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ervicios.infoleg.gob.ar/infolegInternet/anexos/100000-104999/101791/dto1731-9-12-2004-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1070771"/>
                    </a:xfrm>
                    <a:prstGeom prst="rect">
                      <a:avLst/>
                    </a:prstGeom>
                    <a:noFill/>
                    <a:ln>
                      <a:noFill/>
                    </a:ln>
                  </pic:spPr>
                </pic:pic>
              </a:graphicData>
            </a:graphic>
          </wp:inline>
        </w:drawing>
      </w:r>
    </w:p>
    <w:p w:rsidR="0004377E" w:rsidRPr="008463B6" w:rsidRDefault="0004377E" w:rsidP="008463B6">
      <w:pPr>
        <w:pStyle w:val="NormalWeb"/>
        <w:spacing w:line="360" w:lineRule="atLeast"/>
        <w:ind w:right="49"/>
        <w:jc w:val="both"/>
        <w:rPr>
          <w:color w:val="000000"/>
          <w:lang w:val="es-ES"/>
        </w:rPr>
      </w:pPr>
      <w:r w:rsidRPr="008463B6">
        <w:rPr>
          <w:b/>
          <w:color w:val="000000"/>
          <w:lang w:val="es-ES"/>
        </w:rPr>
        <w:t>ARTICULO 25</w:t>
      </w:r>
      <w:r w:rsidRPr="008463B6">
        <w:rPr>
          <w:color w:val="000000"/>
          <w:lang w:val="es-ES"/>
        </w:rPr>
        <w:t xml:space="preserve">.- Sin perjuicio de la intervención que en función de sus competencias le corresponda al BANCO CENTRAL DE LA REPUBLICA ARGENTINA, el MINISTERIO DE ECONOMIA Y PRODUCCION a través de la SECRETARIA DE HACIENDA analizará y autorizará, si correspondiere, con carácter previo a la generación de obligaciones para las partes, el endeudamiento del Sector Público No Financiero correspondiente a los Gobiernos Provinciales, de la CIUDAD AUTONOMA DE BUENOS AIRES y de los Gobiernos Municipales de conformidad a las pautas y procedimientos </w:t>
      </w:r>
      <w:r w:rsidR="008463B6" w:rsidRPr="008463B6">
        <w:rPr>
          <w:color w:val="000000"/>
          <w:lang w:val="es-ES"/>
        </w:rPr>
        <w:t>que a continuación se detallan:</w:t>
      </w:r>
    </w:p>
    <w:p w:rsidR="0004377E" w:rsidRPr="008463B6" w:rsidRDefault="0004377E" w:rsidP="008463B6">
      <w:pPr>
        <w:pStyle w:val="NormalWeb"/>
        <w:spacing w:before="0" w:beforeAutospacing="0" w:after="0" w:afterAutospacing="0" w:line="360" w:lineRule="auto"/>
        <w:ind w:right="51"/>
        <w:jc w:val="both"/>
        <w:rPr>
          <w:color w:val="000000"/>
          <w:lang w:val="es-ES"/>
        </w:rPr>
      </w:pPr>
      <w:r w:rsidRPr="008463B6">
        <w:rPr>
          <w:color w:val="000000"/>
          <w:lang w:val="es-ES"/>
        </w:rPr>
        <w:t>a) Los Gobiernos Provinciales y de la CIUDAD AUTONOMA DE BUENOS AIRES que lo soliciten, deberán adjuntar la documentación detallada en el Anexo V el cual forma parte integrante</w:t>
      </w:r>
      <w:r w:rsidR="008463B6" w:rsidRPr="008463B6">
        <w:rPr>
          <w:color w:val="000000"/>
          <w:lang w:val="es-ES"/>
        </w:rPr>
        <w:t xml:space="preserve"> de la presente reglamentación.</w:t>
      </w:r>
    </w:p>
    <w:p w:rsidR="0004377E" w:rsidRPr="008463B6" w:rsidRDefault="0004377E" w:rsidP="008463B6">
      <w:pPr>
        <w:pStyle w:val="NormalWeb"/>
        <w:spacing w:before="0" w:beforeAutospacing="0" w:after="0" w:afterAutospacing="0" w:line="360" w:lineRule="auto"/>
        <w:ind w:right="51"/>
        <w:jc w:val="both"/>
        <w:rPr>
          <w:color w:val="000000"/>
          <w:lang w:val="es-ES"/>
        </w:rPr>
      </w:pPr>
      <w:r w:rsidRPr="008463B6">
        <w:rPr>
          <w:color w:val="000000"/>
          <w:lang w:val="es-ES"/>
        </w:rPr>
        <w:t>b) Las cesiones de recursos "prosolvendo" a otorgar no podrán superar la cuota de amortización, intereses y gastos que origin</w:t>
      </w:r>
      <w:r w:rsidR="008463B6" w:rsidRPr="008463B6">
        <w:rPr>
          <w:color w:val="000000"/>
          <w:lang w:val="es-ES"/>
        </w:rPr>
        <w:t>e la operación de que se trate.</w:t>
      </w:r>
    </w:p>
    <w:p w:rsidR="0004377E" w:rsidRPr="008463B6" w:rsidRDefault="0004377E" w:rsidP="008463B6">
      <w:pPr>
        <w:pStyle w:val="NormalWeb"/>
        <w:spacing w:before="0" w:beforeAutospacing="0" w:after="0" w:afterAutospacing="0" w:line="360" w:lineRule="auto"/>
        <w:ind w:right="51"/>
        <w:jc w:val="both"/>
        <w:rPr>
          <w:color w:val="000000"/>
          <w:lang w:val="es-ES"/>
        </w:rPr>
      </w:pPr>
      <w:r w:rsidRPr="008463B6">
        <w:rPr>
          <w:color w:val="000000"/>
          <w:lang w:val="es-ES"/>
        </w:rPr>
        <w:t>c) La SECRETARIA DE HACIENDA del MINISTERIO DE ECONOMIA Y PRODUCCION analizará las condiciones financieras en el marco de los parámetros que utilice el GOBIERNO NACIONAL para su propio endeudamiento y de acuerdo a la ev</w:t>
      </w:r>
      <w:r w:rsidR="008463B6" w:rsidRPr="008463B6">
        <w:rPr>
          <w:color w:val="000000"/>
          <w:lang w:val="es-ES"/>
        </w:rPr>
        <w:t>olución del mercado financiero.</w:t>
      </w:r>
    </w:p>
    <w:p w:rsidR="0004377E" w:rsidRPr="008463B6" w:rsidRDefault="0004377E" w:rsidP="008463B6">
      <w:pPr>
        <w:pStyle w:val="NormalWeb"/>
        <w:spacing w:before="0" w:beforeAutospacing="0" w:after="0" w:afterAutospacing="0" w:line="360" w:lineRule="auto"/>
        <w:ind w:right="51"/>
        <w:jc w:val="both"/>
        <w:rPr>
          <w:color w:val="000000"/>
          <w:lang w:val="es-ES"/>
        </w:rPr>
      </w:pPr>
      <w:r w:rsidRPr="008463B6">
        <w:rPr>
          <w:color w:val="000000"/>
          <w:lang w:val="es-ES"/>
        </w:rPr>
        <w:t xml:space="preserve">d) Sin perjuicio del procedimiento aquí previsto cuando se trate de operaciones de endeudamiento provenientes de programas con financiamiento de Organismos Multilaterales de Crédito y de programas nacionales, la dependencia u organismo nacional </w:t>
      </w:r>
      <w:r w:rsidRPr="008463B6">
        <w:rPr>
          <w:color w:val="000000"/>
          <w:lang w:val="es-ES"/>
        </w:rPr>
        <w:lastRenderedPageBreak/>
        <w:t xml:space="preserve">que se encuentre evaluando la asignación de los recursos y/o elegibilidad de las jurisdicciones intervinientes en el programa de que se trate, deberá contar con un informe favorable de la SECRETARIA DE HACIENDA respecto de la sustentabilidad financiera </w:t>
      </w:r>
      <w:r w:rsidR="008463B6" w:rsidRPr="008463B6">
        <w:rPr>
          <w:color w:val="000000"/>
          <w:lang w:val="es-ES"/>
        </w:rPr>
        <w:t>de la Jurisdicción involucrada.</w:t>
      </w:r>
    </w:p>
    <w:p w:rsidR="0004377E" w:rsidRPr="008463B6" w:rsidRDefault="0004377E" w:rsidP="008463B6">
      <w:pPr>
        <w:pStyle w:val="NormalWeb"/>
        <w:spacing w:before="0" w:beforeAutospacing="0" w:after="0" w:afterAutospacing="0" w:line="360" w:lineRule="auto"/>
        <w:ind w:right="51"/>
        <w:jc w:val="both"/>
        <w:rPr>
          <w:color w:val="000000"/>
          <w:lang w:val="es-ES"/>
        </w:rPr>
      </w:pPr>
      <w:r w:rsidRPr="008463B6">
        <w:rPr>
          <w:color w:val="000000"/>
          <w:lang w:val="es-ES"/>
        </w:rPr>
        <w:t>e) Los endeudamientos que tengan como objeto el otorgamiento de garantías, avales y/o fianzas por montos inferiores a PESOS CIEN MIL ($ 100.000) serán autorizados directamente por la Provincia mediante la norma que corresponda e informad</w:t>
      </w:r>
      <w:r w:rsidR="008463B6" w:rsidRPr="008463B6">
        <w:rPr>
          <w:color w:val="000000"/>
          <w:lang w:val="es-ES"/>
        </w:rPr>
        <w:t>os a la SECRETARIA DE HACIENDA.</w:t>
      </w:r>
    </w:p>
    <w:p w:rsidR="0004377E" w:rsidRPr="008463B6" w:rsidRDefault="0004377E" w:rsidP="008463B6">
      <w:pPr>
        <w:pStyle w:val="NormalWeb"/>
        <w:spacing w:before="0" w:beforeAutospacing="0" w:after="0" w:afterAutospacing="0" w:line="360" w:lineRule="auto"/>
        <w:ind w:right="51"/>
        <w:jc w:val="both"/>
        <w:rPr>
          <w:color w:val="000000"/>
          <w:lang w:val="es-ES"/>
        </w:rPr>
      </w:pPr>
      <w:r w:rsidRPr="008463B6">
        <w:rPr>
          <w:color w:val="000000"/>
          <w:lang w:val="es-ES"/>
        </w:rPr>
        <w:t>f) La autorización de endeudamiento de los Municipios se efectuará con arre</w:t>
      </w:r>
      <w:r w:rsidR="008463B6" w:rsidRPr="008463B6">
        <w:rPr>
          <w:color w:val="000000"/>
          <w:lang w:val="es-ES"/>
        </w:rPr>
        <w:t>glo al siguiente procedimiento:</w:t>
      </w:r>
    </w:p>
    <w:p w:rsidR="0004377E" w:rsidRPr="008463B6" w:rsidRDefault="0004377E" w:rsidP="008463B6">
      <w:pPr>
        <w:pStyle w:val="NormalWeb"/>
        <w:spacing w:before="0" w:beforeAutospacing="0" w:after="0" w:afterAutospacing="0" w:line="360" w:lineRule="auto"/>
        <w:ind w:right="51"/>
        <w:jc w:val="both"/>
        <w:rPr>
          <w:color w:val="000000"/>
          <w:lang w:val="es-ES"/>
        </w:rPr>
      </w:pPr>
      <w:r w:rsidRPr="008463B6">
        <w:rPr>
          <w:color w:val="000000"/>
          <w:lang w:val="es-ES"/>
        </w:rPr>
        <w:t>i) Autorización expedida por la Provincia mediante la norma que corresponda. Las jurisdicciones provinciales dictarán una normativa específica para las autorizaciones de endeudamiento de sus Municipios de contenido análogo al presente, que contemple, como requisito previo al tratamiento de un pedido de autorización, la adhesión y cumplimiento por parte del Municipio del Régimen Federal de Responsabilidad Fiscal que la Provincia dicte, el cual incluya pautas fijadas en el marco de lo establecido en el A</w:t>
      </w:r>
      <w:r w:rsidR="008463B6" w:rsidRPr="008463B6">
        <w:rPr>
          <w:color w:val="000000"/>
          <w:lang w:val="es-ES"/>
        </w:rPr>
        <w:t>rtículo 33 de la Ley Nº 25.917.</w:t>
      </w:r>
    </w:p>
    <w:p w:rsidR="0004377E" w:rsidRPr="008463B6" w:rsidRDefault="0004377E" w:rsidP="008463B6">
      <w:pPr>
        <w:pStyle w:val="NormalWeb"/>
        <w:spacing w:before="0" w:beforeAutospacing="0" w:after="0" w:afterAutospacing="0" w:line="360" w:lineRule="auto"/>
        <w:ind w:right="51"/>
        <w:jc w:val="both"/>
        <w:rPr>
          <w:color w:val="000000"/>
          <w:lang w:val="es-ES"/>
        </w:rPr>
      </w:pPr>
      <w:r w:rsidRPr="008463B6">
        <w:rPr>
          <w:color w:val="000000"/>
          <w:lang w:val="es-ES"/>
        </w:rPr>
        <w:t>ii) Comunicación de la Provincia que deberá contener la documentación que se detalla en el Anexo VI el cual forma parte de la presente reglamentación. La SECRETARIA DE HACIENDA podrá solicitar la información adi</w:t>
      </w:r>
      <w:r w:rsidR="008463B6" w:rsidRPr="008463B6">
        <w:rPr>
          <w:color w:val="000000"/>
          <w:lang w:val="es-ES"/>
        </w:rPr>
        <w:t>cional que considere necesaria.</w:t>
      </w:r>
    </w:p>
    <w:p w:rsidR="0004377E" w:rsidRPr="008463B6" w:rsidRDefault="0004377E" w:rsidP="008463B6">
      <w:pPr>
        <w:pStyle w:val="NormalWeb"/>
        <w:spacing w:before="0" w:beforeAutospacing="0" w:after="0" w:afterAutospacing="0" w:line="360" w:lineRule="auto"/>
        <w:ind w:right="51"/>
        <w:jc w:val="both"/>
        <w:rPr>
          <w:color w:val="000000"/>
          <w:lang w:val="es-ES"/>
        </w:rPr>
      </w:pPr>
      <w:r w:rsidRPr="008463B6">
        <w:rPr>
          <w:color w:val="000000"/>
          <w:lang w:val="es-ES"/>
        </w:rPr>
        <w:t>iii) Cuando el endeudamiento del Municipio acumulado durante el ejercicio fiscal supere el VEINTE POR CIENTO (20%) de los recursos corrientes del mismo, o cuando el monto de la operación supere los PESOS CIEN MIL ($ 100.000) o el UNO POR CIENTO (1%) de los recursos corrientes, el que resulte mayor, la SECRETARIA DE HACIENDA, en el plazo de TREINTA (30) días contados a partir de la recepción de la comunicación, podrá formular a la Provincia su objeción fundada a la aprobación de la operación de endeudamiento. Transcurrido dicho plazo la ope</w:t>
      </w:r>
      <w:r w:rsidR="008463B6" w:rsidRPr="008463B6">
        <w:rPr>
          <w:color w:val="000000"/>
          <w:lang w:val="es-ES"/>
        </w:rPr>
        <w:t>ración se considerará aprobada.</w:t>
      </w:r>
    </w:p>
    <w:p w:rsidR="0004377E" w:rsidRPr="008463B6" w:rsidRDefault="0004377E" w:rsidP="008463B6">
      <w:pPr>
        <w:pStyle w:val="NormalWeb"/>
        <w:spacing w:before="0" w:beforeAutospacing="0" w:after="0" w:afterAutospacing="0" w:line="360" w:lineRule="auto"/>
        <w:ind w:right="51"/>
        <w:jc w:val="both"/>
        <w:rPr>
          <w:color w:val="000000"/>
          <w:lang w:val="es-ES"/>
        </w:rPr>
      </w:pPr>
      <w:r w:rsidRPr="008463B6">
        <w:rPr>
          <w:color w:val="000000"/>
          <w:lang w:val="es-ES"/>
        </w:rPr>
        <w:t>iv) Hasta tanto entre en vigencia la normativa provincial prevista en el punto i) precedente, la autorización seguirá el mismo procedimiento y tendrá las mismas condiciones que las establecidas con respec</w:t>
      </w:r>
      <w:r w:rsidR="008463B6" w:rsidRPr="008463B6">
        <w:rPr>
          <w:color w:val="000000"/>
          <w:lang w:val="es-ES"/>
        </w:rPr>
        <w:t>to al endeudamiento provincial.</w:t>
      </w:r>
    </w:p>
    <w:p w:rsidR="0004377E" w:rsidRPr="008463B6" w:rsidRDefault="0004377E" w:rsidP="008463B6">
      <w:pPr>
        <w:pStyle w:val="NormalWeb"/>
        <w:spacing w:before="0" w:beforeAutospacing="0" w:after="0" w:afterAutospacing="0" w:line="360" w:lineRule="auto"/>
        <w:ind w:right="51"/>
        <w:jc w:val="both"/>
        <w:rPr>
          <w:color w:val="000000"/>
          <w:lang w:val="es-ES"/>
        </w:rPr>
      </w:pPr>
      <w:r w:rsidRPr="008463B6">
        <w:rPr>
          <w:color w:val="000000"/>
          <w:lang w:val="es-ES"/>
        </w:rPr>
        <w:lastRenderedPageBreak/>
        <w:t>g) La SECRETARIA DE HACIENDA queda facultada para aumentar el monto mencionado en los incisos e) y f) del presente artículo y con carácter previo a cada</w:t>
      </w:r>
      <w:r w:rsidR="008463B6" w:rsidRPr="008463B6">
        <w:rPr>
          <w:color w:val="000000"/>
          <w:lang w:val="es-ES"/>
        </w:rPr>
        <w:t xml:space="preserve"> autorización deberá constatar.</w:t>
      </w:r>
    </w:p>
    <w:p w:rsidR="0004377E" w:rsidRPr="008463B6" w:rsidRDefault="0004377E" w:rsidP="008463B6">
      <w:pPr>
        <w:pStyle w:val="NormalWeb"/>
        <w:spacing w:before="0" w:beforeAutospacing="0" w:after="0" w:afterAutospacing="0" w:line="360" w:lineRule="auto"/>
        <w:ind w:right="51"/>
        <w:jc w:val="both"/>
        <w:rPr>
          <w:color w:val="000000"/>
          <w:lang w:val="es-ES"/>
        </w:rPr>
      </w:pPr>
      <w:r w:rsidRPr="008463B6">
        <w:rPr>
          <w:color w:val="000000"/>
          <w:lang w:val="es-ES"/>
        </w:rPr>
        <w:t>i) Si la Jurisdicción se encuentra dentro del indicador de endeudamiento previsto por el Artículo 21 de la Ley Nº 25.917 y, en este supuesto, si con el endeudamiento requer</w:t>
      </w:r>
      <w:r w:rsidRPr="008463B6">
        <w:rPr>
          <w:color w:val="000000"/>
          <w:lang w:val="es-ES"/>
        </w:rPr>
        <w:t>ido se respeta dicho indicador.</w:t>
      </w:r>
    </w:p>
    <w:p w:rsidR="0004377E" w:rsidRPr="008463B6" w:rsidRDefault="0004377E" w:rsidP="008463B6">
      <w:pPr>
        <w:pStyle w:val="NormalWeb"/>
        <w:spacing w:before="0" w:beforeAutospacing="0" w:after="0" w:afterAutospacing="0" w:line="360" w:lineRule="auto"/>
        <w:ind w:right="51"/>
        <w:jc w:val="both"/>
        <w:rPr>
          <w:color w:val="000000"/>
          <w:lang w:val="es-ES"/>
        </w:rPr>
      </w:pPr>
      <w:r w:rsidRPr="008463B6">
        <w:rPr>
          <w:color w:val="000000"/>
          <w:lang w:val="es-ES"/>
        </w:rPr>
        <w:t>ii) Si la Jurisdicción se encuentra incursa en las sanciones previstas en el Artículo 32 inciso i</w:t>
      </w:r>
      <w:r w:rsidR="008463B6" w:rsidRPr="008463B6">
        <w:rPr>
          <w:color w:val="000000"/>
          <w:lang w:val="es-ES"/>
        </w:rPr>
        <w:t>v) y/ o v) de la Ley Nº 25.917.</w:t>
      </w:r>
    </w:p>
    <w:p w:rsidR="0004377E" w:rsidRPr="008463B6" w:rsidRDefault="0004377E" w:rsidP="008463B6">
      <w:pPr>
        <w:pStyle w:val="NormalWeb"/>
        <w:spacing w:before="0" w:beforeAutospacing="0" w:after="0" w:afterAutospacing="0" w:line="360" w:lineRule="auto"/>
        <w:ind w:right="51"/>
        <w:jc w:val="both"/>
        <w:rPr>
          <w:color w:val="000000"/>
          <w:lang w:val="es-ES"/>
        </w:rPr>
      </w:pPr>
      <w:r w:rsidRPr="008463B6">
        <w:rPr>
          <w:color w:val="000000"/>
          <w:lang w:val="es-ES"/>
        </w:rPr>
        <w:t>iii) Que no se supere el límite de endeudamiento para el conjunto de las Provincias y la CIUDAD AUTONOMA DE BUENOS AIRES establecido durante cada ejercicio fiscal conforme a lo dispuesto en el Artículo 2º</w:t>
      </w:r>
      <w:r w:rsidRPr="008463B6">
        <w:rPr>
          <w:color w:val="000000"/>
          <w:lang w:val="es-ES"/>
        </w:rPr>
        <w:t xml:space="preserve"> inciso b) de la Ley Nº 25.917.</w:t>
      </w:r>
    </w:p>
    <w:p w:rsidR="0004377E" w:rsidRDefault="0004377E" w:rsidP="008463B6">
      <w:pPr>
        <w:pStyle w:val="NormalWeb"/>
        <w:spacing w:before="0" w:beforeAutospacing="0" w:after="0" w:afterAutospacing="0" w:line="360" w:lineRule="auto"/>
        <w:ind w:right="51"/>
        <w:jc w:val="both"/>
        <w:rPr>
          <w:color w:val="000000"/>
          <w:lang w:val="es-ES"/>
        </w:rPr>
      </w:pPr>
      <w:r w:rsidRPr="008463B6">
        <w:rPr>
          <w:color w:val="000000"/>
          <w:lang w:val="es-ES"/>
        </w:rPr>
        <w:t>h) En forma previa a la autorización de oferta pública de Títulos Públicos, la COMISION NACIONAL DE VALORES, organismo descentralizado en la órbita de la SECRETARIA DE FINANZAS del MINISTERIO DE ECONOMIA Y PRODUCCION, deberá contar con la autorización a que se refiere el Artículo 25 de la Ley Nº 25.917. La COMISION NACIONAL DE VALORES deberá proveer a la SECRETARIA DE HACIENDA, un detalle trimestral de las autorizaciones de cotización otorgadas a las Provincias, a la CIUDAD AUTONOMA DE BUENOS AIRES y a los Municipios.</w:t>
      </w:r>
    </w:p>
    <w:p w:rsidR="008463B6" w:rsidRPr="008463B6" w:rsidRDefault="008463B6" w:rsidP="008463B6">
      <w:pPr>
        <w:pStyle w:val="NormalWeb"/>
        <w:spacing w:before="0" w:beforeAutospacing="0" w:after="0" w:afterAutospacing="0" w:line="360" w:lineRule="auto"/>
        <w:ind w:right="51"/>
        <w:jc w:val="both"/>
        <w:rPr>
          <w:color w:val="000000"/>
          <w:lang w:val="es-ES"/>
        </w:rPr>
      </w:pPr>
    </w:p>
    <w:p w:rsidR="008463B6" w:rsidRPr="008463B6" w:rsidRDefault="008463B6" w:rsidP="008463B6">
      <w:pPr>
        <w:pStyle w:val="NormalWeb"/>
        <w:spacing w:before="0" w:beforeAutospacing="0" w:after="0" w:afterAutospacing="0" w:line="360" w:lineRule="auto"/>
        <w:ind w:right="49"/>
        <w:jc w:val="both"/>
        <w:rPr>
          <w:b/>
          <w:color w:val="000000"/>
          <w:lang w:val="es-ES"/>
        </w:rPr>
      </w:pPr>
      <w:r w:rsidRPr="008463B6">
        <w:rPr>
          <w:b/>
          <w:color w:val="000000"/>
          <w:lang w:val="es-ES"/>
        </w:rPr>
        <w:t>ANEXO V, ARTICULO 2</w:t>
      </w:r>
      <w:r>
        <w:rPr>
          <w:b/>
          <w:color w:val="000000"/>
          <w:lang w:val="es-ES"/>
        </w:rPr>
        <w:t>5 DE LA REGLAMENTACIÓ</w:t>
      </w:r>
      <w:r w:rsidRPr="008463B6">
        <w:rPr>
          <w:b/>
          <w:color w:val="000000"/>
          <w:lang w:val="es-ES"/>
        </w:rPr>
        <w:t>N</w:t>
      </w:r>
    </w:p>
    <w:p w:rsidR="008463B6" w:rsidRPr="008463B6" w:rsidRDefault="008463B6" w:rsidP="008463B6">
      <w:pPr>
        <w:pStyle w:val="NormalWeb"/>
        <w:spacing w:before="0" w:beforeAutospacing="0" w:after="0" w:afterAutospacing="0" w:line="360" w:lineRule="auto"/>
        <w:ind w:right="49"/>
        <w:jc w:val="both"/>
        <w:rPr>
          <w:color w:val="000000"/>
          <w:lang w:val="es-ES"/>
        </w:rPr>
      </w:pPr>
    </w:p>
    <w:p w:rsidR="008463B6" w:rsidRPr="008463B6" w:rsidRDefault="008463B6" w:rsidP="008463B6">
      <w:pPr>
        <w:pStyle w:val="NormalWeb"/>
        <w:spacing w:before="0" w:beforeAutospacing="0" w:after="0" w:afterAutospacing="0" w:line="360" w:lineRule="auto"/>
        <w:ind w:right="49"/>
        <w:jc w:val="both"/>
        <w:rPr>
          <w:b/>
          <w:color w:val="000000"/>
          <w:lang w:val="es-ES"/>
        </w:rPr>
      </w:pPr>
      <w:r w:rsidRPr="008463B6">
        <w:rPr>
          <w:b/>
          <w:color w:val="000000"/>
          <w:lang w:val="es-ES"/>
        </w:rPr>
        <w:t>DOCUMENTACION REQUERIDA A LOS GOBIERNOS PROVINCIALES y A LA CIUDAD AUTONOMA DE BUENOS AIRES</w:t>
      </w:r>
    </w:p>
    <w:p w:rsidR="008463B6" w:rsidRPr="008463B6" w:rsidRDefault="008463B6" w:rsidP="008463B6">
      <w:pPr>
        <w:pStyle w:val="NormalWeb"/>
        <w:spacing w:before="0" w:beforeAutospacing="0" w:after="0" w:afterAutospacing="0" w:line="360" w:lineRule="auto"/>
        <w:ind w:right="49"/>
        <w:jc w:val="both"/>
        <w:rPr>
          <w:color w:val="000000"/>
          <w:lang w:val="es-ES"/>
        </w:rPr>
      </w:pPr>
    </w:p>
    <w:p w:rsidR="008463B6" w:rsidRPr="00C75B05" w:rsidRDefault="008463B6" w:rsidP="008463B6">
      <w:pPr>
        <w:pStyle w:val="NormalWeb"/>
        <w:spacing w:before="0" w:beforeAutospacing="0" w:after="0" w:afterAutospacing="0" w:line="360" w:lineRule="auto"/>
        <w:ind w:right="49"/>
        <w:jc w:val="both"/>
        <w:rPr>
          <w:b/>
          <w:color w:val="000000"/>
          <w:lang w:val="es-ES"/>
        </w:rPr>
      </w:pPr>
      <w:r w:rsidRPr="00C75B05">
        <w:rPr>
          <w:b/>
          <w:color w:val="000000"/>
          <w:lang w:val="es-ES"/>
        </w:rPr>
        <w:t>A) COMUN</w:t>
      </w:r>
      <w:r w:rsidR="00C75B05">
        <w:rPr>
          <w:b/>
          <w:color w:val="000000"/>
          <w:lang w:val="es-ES"/>
        </w:rPr>
        <w:t xml:space="preserve"> PARA TODO TIPO DE OPERACIONES:</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 xml:space="preserve">1) Nota de solicitud de autorización de la operación de financiamiento, estableciendo el destino de los ingresos, indicando en su caso si se trata </w:t>
      </w:r>
      <w:r w:rsidRPr="008463B6">
        <w:rPr>
          <w:color w:val="000000"/>
          <w:lang w:val="es-ES"/>
        </w:rPr>
        <w:t>de refinanciación de una deuda;</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2) Copia Certi</w:t>
      </w:r>
      <w:r w:rsidRPr="008463B6">
        <w:rPr>
          <w:color w:val="000000"/>
          <w:lang w:val="es-ES"/>
        </w:rPr>
        <w:t>ficada de la Ley, que autorice:</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 Uso del Crédito y su destino;</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 Cesión de</w:t>
      </w:r>
      <w:r w:rsidRPr="008463B6">
        <w:rPr>
          <w:color w:val="000000"/>
          <w:lang w:val="es-ES"/>
        </w:rPr>
        <w:t xml:space="preserve"> recursos en garantía y/o pago;</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 La moneda del financiamiento.</w:t>
      </w:r>
    </w:p>
    <w:p w:rsidR="008463B6" w:rsidRPr="008463B6" w:rsidRDefault="008463B6" w:rsidP="008463B6">
      <w:pPr>
        <w:pStyle w:val="NormalWeb"/>
        <w:spacing w:before="0" w:beforeAutospacing="0" w:after="0" w:afterAutospacing="0" w:line="360" w:lineRule="auto"/>
        <w:ind w:right="49"/>
        <w:jc w:val="both"/>
        <w:rPr>
          <w:color w:val="000000"/>
          <w:lang w:val="es-ES"/>
        </w:rPr>
      </w:pPr>
    </w:p>
    <w:p w:rsidR="008463B6" w:rsidRPr="008463B6" w:rsidRDefault="008463B6" w:rsidP="008463B6">
      <w:pPr>
        <w:pStyle w:val="NormalWeb"/>
        <w:spacing w:before="0" w:beforeAutospacing="0" w:after="0" w:afterAutospacing="0" w:line="360" w:lineRule="auto"/>
        <w:ind w:right="49"/>
        <w:jc w:val="both"/>
        <w:rPr>
          <w:color w:val="000000"/>
          <w:lang w:val="es-ES"/>
        </w:rPr>
      </w:pP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3) Norma donde se aprueben la</w:t>
      </w:r>
      <w:r w:rsidRPr="008463B6">
        <w:rPr>
          <w:color w:val="000000"/>
          <w:lang w:val="es-ES"/>
        </w:rPr>
        <w:t>s condiciones de la operatoria;</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 xml:space="preserve">4) Modelo de Contrato de Mutuo y Cesión de Derechos y/o Fideicomiso en su </w:t>
      </w:r>
      <w:r w:rsidRPr="008463B6">
        <w:rPr>
          <w:color w:val="000000"/>
          <w:lang w:val="es-ES"/>
        </w:rPr>
        <w:t>caso, especificando claramente:</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a) Moneda de pago del préstamo.</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b) Plazo del préstamo</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c) Amortización e Intereses: método de amortización del capital del préstamo y la frecuencia del p</w:t>
      </w:r>
      <w:r w:rsidRPr="008463B6">
        <w:rPr>
          <w:color w:val="000000"/>
          <w:lang w:val="es-ES"/>
        </w:rPr>
        <w:t>ago de intereses y del capital.</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d) Tasa de Interés: tipo (fijo o variable) y su conformación, indicándose los valores que asumen cada una de las variables que participan a la fecha de la concertación del préstamo. Asimismo, deberá especificarse la fuente de información de los datos necesarios para su recálculo. Debe indicarse la tasa resultante en términos nominales anuales, y el costo financiero total del préstamo (considerando comisiones y gastos) al momento de la concertac</w:t>
      </w:r>
      <w:r w:rsidRPr="008463B6">
        <w:rPr>
          <w:color w:val="000000"/>
          <w:lang w:val="es-ES"/>
        </w:rPr>
        <w:t>ión de la operación crediticia.</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e) Garantía: recursos que se otorguen en garantía, así como su porcentaje d</w:t>
      </w:r>
      <w:r w:rsidRPr="008463B6">
        <w:rPr>
          <w:color w:val="000000"/>
          <w:lang w:val="es-ES"/>
        </w:rPr>
        <w:t>e afectación si correspondiese.</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f) Comisiones de estructuración, de instrumentación, de liquidación y/o cualquier otra que estén a cargo del prestatario, y todos los gastos inherentes a la operac</w:t>
      </w:r>
      <w:r w:rsidR="00C75B05">
        <w:rPr>
          <w:color w:val="000000"/>
          <w:lang w:val="es-ES"/>
        </w:rPr>
        <w:t>ión, cualquiera sea su especie.</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5) Dictámenes de Contaduría y Fiscalía sobre la viabilidad de la operación</w:t>
      </w:r>
      <w:r w:rsidRPr="008463B6">
        <w:rPr>
          <w:color w:val="000000"/>
          <w:lang w:val="es-ES"/>
        </w:rPr>
        <w:t xml:space="preserve"> cuya autorización se solicita;</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6) Programación de los servicios de capital e interés de la operación de endeudamiento para el</w:t>
      </w:r>
      <w:r w:rsidRPr="008463B6">
        <w:rPr>
          <w:color w:val="000000"/>
          <w:lang w:val="es-ES"/>
        </w:rPr>
        <w:t xml:space="preserve"> período de duración del mismo.</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7) Informe del stock de la deuda a la fecha de la solicitud y perfil de vencimientos de capital e intereses para el período de duración del financiamiento que se solicita autori</w:t>
      </w:r>
      <w:r w:rsidRPr="008463B6">
        <w:rPr>
          <w:color w:val="000000"/>
          <w:lang w:val="es-ES"/>
        </w:rPr>
        <w:t>zación, de acuerdo al Anexo II.</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 xml:space="preserve">8) Afectaciones (importe o porcentaje comprometido) de la Coparticipación Federal de Impuestos Artículos 1º, 2º y 3º del ACUERDO NACION - PROVINCIAS SOBRE RELACION FINANCIERA Y BASES DE UN REGIMEN DE COPARTICIPACION FEDERAL DE IMPUESTOS" celebrado entre el ESTADO NACIONAL, los Estados </w:t>
      </w:r>
      <w:r w:rsidRPr="008463B6">
        <w:rPr>
          <w:color w:val="000000"/>
          <w:lang w:val="es-ES"/>
        </w:rPr>
        <w:lastRenderedPageBreak/>
        <w:t>Provinciales y la CIUDAD AUTONOMA DE BUENOS AIRES, en la CIUDAD AUTONOMA DE BUENOS AIRES el 27 de febrero de 2002</w:t>
      </w:r>
      <w:r w:rsidR="00C75B05">
        <w:rPr>
          <w:color w:val="000000"/>
          <w:lang w:val="es-ES"/>
        </w:rPr>
        <w:t>, ratificado por Ley Nº 25.570.</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9) Otras garantías (impo</w:t>
      </w:r>
      <w:r w:rsidRPr="008463B6">
        <w:rPr>
          <w:color w:val="000000"/>
          <w:lang w:val="es-ES"/>
        </w:rPr>
        <w:t>rte y porcentaje comprometido).</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10) Ejecución Presupuestaria (Esquema Ahorro-Inversión-Financiamiento) al cierre del trimestre inmediato anterior a la fecha de la solicitud de autorización y Proyección Financiera (Esquema Ahorro- Inversión-Financiamiento) para el período de duración del financiamiento que se solicita autor</w:t>
      </w:r>
      <w:r w:rsidR="00C75B05">
        <w:rPr>
          <w:color w:val="000000"/>
          <w:lang w:val="es-ES"/>
        </w:rPr>
        <w:t>ización, de acuerdo al Anexo I.</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11) Para el caso de que las solicitudes de endeudamiento correspondan a empresas o fondos fiduciarios provinciales, además de la información detallada en los apartados 1) a 7) y 9) del punto A del presente Anexo, deberá presenta</w:t>
      </w:r>
      <w:r w:rsidRPr="008463B6">
        <w:rPr>
          <w:color w:val="000000"/>
          <w:lang w:val="es-ES"/>
        </w:rPr>
        <w:t>rse la siguiente documentación:</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a) El estado patrimonial de la empresa o sociedad del Est</w:t>
      </w:r>
      <w:r w:rsidRPr="008463B6">
        <w:rPr>
          <w:color w:val="000000"/>
          <w:lang w:val="es-ES"/>
        </w:rPr>
        <w:t>ado a la fecha de la solicitud.</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b) El estado de origen y aplicación de fondos proyectado para el período</w:t>
      </w:r>
      <w:r w:rsidRPr="008463B6">
        <w:rPr>
          <w:color w:val="000000"/>
          <w:lang w:val="es-ES"/>
        </w:rPr>
        <w:t xml:space="preserve"> de duración del endeudamiento.</w:t>
      </w:r>
    </w:p>
    <w:p w:rsidR="008463B6" w:rsidRPr="008463B6" w:rsidRDefault="008463B6" w:rsidP="008463B6">
      <w:pPr>
        <w:pStyle w:val="NormalWeb"/>
        <w:spacing w:before="0" w:beforeAutospacing="0" w:after="0" w:afterAutospacing="0" w:line="360" w:lineRule="auto"/>
        <w:ind w:right="49"/>
        <w:jc w:val="both"/>
        <w:rPr>
          <w:color w:val="000000"/>
          <w:lang w:val="es-ES"/>
        </w:rPr>
      </w:pPr>
    </w:p>
    <w:p w:rsidR="008463B6" w:rsidRPr="00C75B05" w:rsidRDefault="008463B6" w:rsidP="008463B6">
      <w:pPr>
        <w:pStyle w:val="NormalWeb"/>
        <w:spacing w:before="0" w:beforeAutospacing="0" w:after="0" w:afterAutospacing="0" w:line="360" w:lineRule="auto"/>
        <w:ind w:right="49"/>
        <w:jc w:val="both"/>
        <w:rPr>
          <w:b/>
          <w:color w:val="000000"/>
          <w:lang w:val="es-ES"/>
        </w:rPr>
      </w:pPr>
      <w:r w:rsidRPr="00C75B05">
        <w:rPr>
          <w:b/>
          <w:color w:val="000000"/>
          <w:lang w:val="es-ES"/>
        </w:rPr>
        <w:t xml:space="preserve">B) EMISION Y </w:t>
      </w:r>
      <w:r w:rsidRPr="00C75B05">
        <w:rPr>
          <w:b/>
          <w:color w:val="000000"/>
          <w:lang w:val="es-ES"/>
        </w:rPr>
        <w:t>COLOCACION DE TITULOS PUBLICOS:</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i) Prospecto de emisi</w:t>
      </w:r>
      <w:r w:rsidRPr="008463B6">
        <w:rPr>
          <w:color w:val="000000"/>
          <w:lang w:val="es-ES"/>
        </w:rPr>
        <w:t>ón: deberá incluir como mínimo:</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 xml:space="preserve">1. Valor </w:t>
      </w:r>
      <w:r w:rsidRPr="008463B6">
        <w:rPr>
          <w:color w:val="000000"/>
          <w:lang w:val="es-ES"/>
        </w:rPr>
        <w:t>nominal y moneda de la emisión;</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 xml:space="preserve">2. Monto </w:t>
      </w:r>
      <w:r w:rsidRPr="008463B6">
        <w:rPr>
          <w:color w:val="000000"/>
          <w:lang w:val="es-ES"/>
        </w:rPr>
        <w:t>máximo de emisión;</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3. Fec</w:t>
      </w:r>
      <w:r w:rsidRPr="008463B6">
        <w:rPr>
          <w:color w:val="000000"/>
          <w:lang w:val="es-ES"/>
        </w:rPr>
        <w:t>ha de emisión y de vencimiento;</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4. Precio de emisión.</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5. Fecha de pago de amort</w:t>
      </w:r>
      <w:r w:rsidRPr="008463B6">
        <w:rPr>
          <w:color w:val="000000"/>
          <w:lang w:val="es-ES"/>
        </w:rPr>
        <w:t>ización de capital e intereses.</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6. Tasa de interés: fija o variable, conformación y recálculo y base anu</w:t>
      </w:r>
      <w:r w:rsidRPr="008463B6">
        <w:rPr>
          <w:color w:val="000000"/>
          <w:lang w:val="es-ES"/>
        </w:rPr>
        <w:t>al de cálculo de los intereses.</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 xml:space="preserve">7. Garantía: bienes cedidos y tipo de cesión. </w:t>
      </w:r>
      <w:r w:rsidRPr="008463B6">
        <w:rPr>
          <w:color w:val="000000"/>
          <w:lang w:val="es-ES"/>
        </w:rPr>
        <w:t>Instrumentación de la garantía.</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8. Cláusula de Rescate: a opción del emisor o del tenedor. P</w:t>
      </w:r>
      <w:r w:rsidRPr="008463B6">
        <w:rPr>
          <w:color w:val="000000"/>
          <w:lang w:val="es-ES"/>
        </w:rPr>
        <w:t>enalidades y condicionamientos;</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9. Cláusula de subordinación</w:t>
      </w:r>
      <w:r w:rsidRPr="008463B6">
        <w:rPr>
          <w:color w:val="000000"/>
          <w:lang w:val="es-ES"/>
        </w:rPr>
        <w:t xml:space="preserve"> y/o preferencia si la hubiera;</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 xml:space="preserve">10. Modalidad de los Títulos y su </w:t>
      </w:r>
      <w:r w:rsidRPr="008463B6">
        <w:rPr>
          <w:color w:val="000000"/>
          <w:lang w:val="es-ES"/>
        </w:rPr>
        <w:t>denominación;</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 xml:space="preserve">11. Bolsa de Cotización, Sistema de Compensación </w:t>
      </w:r>
      <w:r w:rsidRPr="008463B6">
        <w:rPr>
          <w:color w:val="000000"/>
          <w:lang w:val="es-ES"/>
        </w:rPr>
        <w:t>y Agente de pago y de registro;</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 xml:space="preserve">12. Método </w:t>
      </w:r>
      <w:r w:rsidRPr="008463B6">
        <w:rPr>
          <w:color w:val="000000"/>
          <w:lang w:val="es-ES"/>
        </w:rPr>
        <w:t>de distribución y/o colocación;</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13. Agente</w:t>
      </w:r>
      <w:r w:rsidRPr="008463B6">
        <w:rPr>
          <w:color w:val="000000"/>
          <w:lang w:val="es-ES"/>
        </w:rPr>
        <w:t xml:space="preserve"> colocador y Agente fiduciario;</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14. Calificación de Rie</w:t>
      </w:r>
      <w:r w:rsidRPr="008463B6">
        <w:rPr>
          <w:color w:val="000000"/>
          <w:lang w:val="es-ES"/>
        </w:rPr>
        <w:t>sgo Crediticio (si la hubiere);</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lastRenderedPageBreak/>
        <w:t>15. Gastos y honorarios legales, por calificación de riesgo, por consultoría financiera</w:t>
      </w:r>
      <w:r w:rsidRPr="008463B6">
        <w:rPr>
          <w:color w:val="000000"/>
          <w:lang w:val="es-ES"/>
        </w:rPr>
        <w:t xml:space="preserve"> y por cualquier otro concepto;</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16. Legislación, jurisd</w:t>
      </w:r>
      <w:r w:rsidR="00C75B05">
        <w:rPr>
          <w:color w:val="000000"/>
          <w:lang w:val="es-ES"/>
        </w:rPr>
        <w:t>icción y competencia aplicable.</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ii) Contrato de Colocación, de Organización y/o</w:t>
      </w:r>
      <w:r w:rsidRPr="008463B6">
        <w:rPr>
          <w:color w:val="000000"/>
          <w:lang w:val="es-ES"/>
        </w:rPr>
        <w:t xml:space="preserve"> Distribución, deberá detallar:</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1. Tipo de colocación;</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2. Comisión de</w:t>
      </w:r>
      <w:r w:rsidRPr="008463B6">
        <w:rPr>
          <w:color w:val="000000"/>
          <w:lang w:val="es-ES"/>
        </w:rPr>
        <w:t xml:space="preserve"> cada uno de los participantes;</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3. Compromiso</w:t>
      </w:r>
      <w:r w:rsidRPr="008463B6">
        <w:rPr>
          <w:color w:val="000000"/>
          <w:lang w:val="es-ES"/>
        </w:rPr>
        <w:t>s de las partes intervinientes;</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4. Gastos de escri</w:t>
      </w:r>
      <w:r w:rsidRPr="008463B6">
        <w:rPr>
          <w:color w:val="000000"/>
          <w:lang w:val="es-ES"/>
        </w:rPr>
        <w:t>turación, organización y demás;</w:t>
      </w:r>
    </w:p>
    <w:p w:rsid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5. Legislación, jurisd</w:t>
      </w:r>
      <w:r w:rsidR="00C75B05">
        <w:rPr>
          <w:color w:val="000000"/>
          <w:lang w:val="es-ES"/>
        </w:rPr>
        <w:t>icción y competencia aplicable.</w:t>
      </w:r>
    </w:p>
    <w:p w:rsidR="00C75B05" w:rsidRPr="008463B6" w:rsidRDefault="00C75B05" w:rsidP="008463B6">
      <w:pPr>
        <w:pStyle w:val="NormalWeb"/>
        <w:spacing w:before="0" w:beforeAutospacing="0" w:after="0" w:afterAutospacing="0" w:line="360" w:lineRule="auto"/>
        <w:ind w:right="49"/>
        <w:jc w:val="both"/>
        <w:rPr>
          <w:color w:val="000000"/>
          <w:lang w:val="es-ES"/>
        </w:rPr>
      </w:pPr>
    </w:p>
    <w:p w:rsidR="008463B6" w:rsidRPr="00C75B05" w:rsidRDefault="008463B6" w:rsidP="008463B6">
      <w:pPr>
        <w:pStyle w:val="NormalWeb"/>
        <w:spacing w:before="0" w:beforeAutospacing="0" w:after="0" w:afterAutospacing="0" w:line="360" w:lineRule="auto"/>
        <w:ind w:right="49"/>
        <w:jc w:val="both"/>
        <w:rPr>
          <w:b/>
          <w:color w:val="000000"/>
          <w:lang w:val="es-ES"/>
        </w:rPr>
      </w:pPr>
      <w:r w:rsidRPr="00C75B05">
        <w:rPr>
          <w:b/>
          <w:color w:val="000000"/>
          <w:lang w:val="es-ES"/>
        </w:rPr>
        <w:t>C) FIDEICOMISOS FINANCIEROS:</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1. Contrato de Fideicomiso y de Administra</w:t>
      </w:r>
      <w:r w:rsidRPr="008463B6">
        <w:rPr>
          <w:color w:val="000000"/>
          <w:lang w:val="es-ES"/>
        </w:rPr>
        <w:t>ción Fiducia</w:t>
      </w:r>
      <w:bookmarkStart w:id="1" w:name="_GoBack"/>
      <w:bookmarkEnd w:id="1"/>
      <w:r w:rsidRPr="008463B6">
        <w:rPr>
          <w:color w:val="000000"/>
          <w:lang w:val="es-ES"/>
        </w:rPr>
        <w:t xml:space="preserve">ria, si </w:t>
      </w:r>
      <w:proofErr w:type="spellStart"/>
      <w:r w:rsidRPr="008463B6">
        <w:rPr>
          <w:color w:val="000000"/>
          <w:lang w:val="es-ES"/>
        </w:rPr>
        <w:t>lo</w:t>
      </w:r>
      <w:proofErr w:type="spellEnd"/>
      <w:r w:rsidRPr="008463B6">
        <w:rPr>
          <w:color w:val="000000"/>
          <w:lang w:val="es-ES"/>
        </w:rPr>
        <w:t xml:space="preserve"> hubiere;</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 xml:space="preserve">2. Definición de roles y de bienes </w:t>
      </w:r>
      <w:proofErr w:type="spellStart"/>
      <w:r w:rsidRPr="008463B6">
        <w:rPr>
          <w:color w:val="000000"/>
          <w:lang w:val="es-ES"/>
        </w:rPr>
        <w:t>fideicomitidos</w:t>
      </w:r>
      <w:proofErr w:type="spellEnd"/>
      <w:r w:rsidRPr="008463B6">
        <w:rPr>
          <w:color w:val="000000"/>
          <w:lang w:val="es-ES"/>
        </w:rPr>
        <w:t>, y deta</w:t>
      </w:r>
      <w:r w:rsidRPr="008463B6">
        <w:rPr>
          <w:color w:val="000000"/>
          <w:lang w:val="es-ES"/>
        </w:rPr>
        <w:t>lle de los porcentajes cedidos;</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3. Duración del Fideicomiso;</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4. Objeto del Fideicomiso;</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5. Obligac</w:t>
      </w:r>
      <w:r w:rsidRPr="008463B6">
        <w:rPr>
          <w:color w:val="000000"/>
          <w:lang w:val="es-ES"/>
        </w:rPr>
        <w:t>iones y deberes del Fiduciario;</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 xml:space="preserve">6. Retribución del Fiduciario, comisiones, gastos de administración </w:t>
      </w:r>
      <w:r w:rsidRPr="008463B6">
        <w:rPr>
          <w:color w:val="000000"/>
          <w:lang w:val="es-ES"/>
        </w:rPr>
        <w:t>del fideicomiso y demás cargos;</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 xml:space="preserve">7. </w:t>
      </w:r>
      <w:r w:rsidRPr="008463B6">
        <w:rPr>
          <w:color w:val="000000"/>
          <w:lang w:val="es-ES"/>
        </w:rPr>
        <w:t>Mecanismo de pago y devolución;</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8. Emisión de Certificados de Participación, si hubiere y rescate de los mis</w:t>
      </w:r>
      <w:r w:rsidRPr="008463B6">
        <w:rPr>
          <w:color w:val="000000"/>
          <w:lang w:val="es-ES"/>
        </w:rPr>
        <w:t>mos;</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9. Ca</w:t>
      </w:r>
      <w:r w:rsidRPr="008463B6">
        <w:rPr>
          <w:color w:val="000000"/>
          <w:lang w:val="es-ES"/>
        </w:rPr>
        <w:t>usales de extinción y renuncia;</w:t>
      </w:r>
    </w:p>
    <w:p w:rsidR="008463B6" w:rsidRPr="008463B6" w:rsidRDefault="008463B6" w:rsidP="008463B6">
      <w:pPr>
        <w:pStyle w:val="NormalWeb"/>
        <w:spacing w:before="0" w:beforeAutospacing="0" w:after="0" w:afterAutospacing="0" w:line="360" w:lineRule="auto"/>
        <w:ind w:right="49"/>
        <w:jc w:val="both"/>
        <w:rPr>
          <w:color w:val="000000"/>
          <w:lang w:val="es-ES"/>
        </w:rPr>
      </w:pPr>
      <w:r w:rsidRPr="008463B6">
        <w:rPr>
          <w:color w:val="000000"/>
          <w:lang w:val="es-ES"/>
        </w:rPr>
        <w:t>10. Legislación, jurisdicción y competencia aplicable.</w:t>
      </w:r>
    </w:p>
    <w:sectPr w:rsidR="008463B6" w:rsidRPr="008463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77E"/>
    <w:rsid w:val="0004377E"/>
    <w:rsid w:val="003605D5"/>
    <w:rsid w:val="003E0C67"/>
    <w:rsid w:val="008463B6"/>
    <w:rsid w:val="00C75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5DA7C"/>
  <w15:chartTrackingRefBased/>
  <w15:docId w15:val="{531A7461-D53D-4E9B-A47C-5703642E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437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articulo">
    <w:name w:val="texto-articulo"/>
    <w:basedOn w:val="Normal"/>
    <w:rsid w:val="008463B6"/>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customStyle="1" w:styleId="Textoindependiente31">
    <w:name w:val="Texto independiente 31"/>
    <w:basedOn w:val="Normal"/>
    <w:rsid w:val="008463B6"/>
    <w:pPr>
      <w:widowControl w:val="0"/>
      <w:spacing w:before="120" w:after="0" w:line="240" w:lineRule="auto"/>
      <w:jc w:val="both"/>
    </w:pPr>
    <w:rPr>
      <w:rFonts w:ascii="Times New Roman" w:eastAsia="Times New Roman" w:hAnsi="Times New Roman"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703861">
      <w:bodyDiv w:val="1"/>
      <w:marLeft w:val="0"/>
      <w:marRight w:val="0"/>
      <w:marTop w:val="0"/>
      <w:marBottom w:val="0"/>
      <w:divBdr>
        <w:top w:val="none" w:sz="0" w:space="0" w:color="auto"/>
        <w:left w:val="none" w:sz="0" w:space="0" w:color="auto"/>
        <w:bottom w:val="none" w:sz="0" w:space="0" w:color="auto"/>
        <w:right w:val="none" w:sz="0" w:space="0" w:color="auto"/>
      </w:divBdr>
    </w:div>
    <w:div w:id="63649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1733</Words>
  <Characters>9880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2026-03-18T15:34:00Z</dcterms:created>
  <dcterms:modified xsi:type="dcterms:W3CDTF">2026-03-18T15:57:00Z</dcterms:modified>
</cp:coreProperties>
</file>