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D38" w14:textId="3553EF74" w:rsidR="00AB3088" w:rsidRDefault="00AB3088" w:rsidP="00D95DDE">
      <w:pPr>
        <w:pStyle w:val="texto-articulo"/>
        <w:shd w:val="clear" w:color="auto" w:fill="FFFFFF"/>
        <w:spacing w:before="0" w:beforeAutospacing="0" w:after="150" w:afterAutospacing="0"/>
        <w:jc w:val="center"/>
        <w:rPr>
          <w:b/>
          <w:bCs/>
          <w:color w:val="141414"/>
          <w:spacing w:val="-3"/>
          <w:sz w:val="28"/>
          <w:szCs w:val="28"/>
          <w:u w:val="single"/>
        </w:rPr>
      </w:pPr>
    </w:p>
    <w:p w14:paraId="1C26EB18" w14:textId="77777777" w:rsidR="008E2DB7" w:rsidRDefault="008E2DB7" w:rsidP="008E2DB7">
      <w:pPr>
        <w:pStyle w:val="Textoindependiente31"/>
        <w:widowControl/>
        <w:spacing w:before="0"/>
        <w:ind w:left="-709" w:right="-851"/>
        <w:jc w:val="center"/>
        <w:rPr>
          <w:i/>
          <w:iCs/>
          <w:sz w:val="28"/>
          <w:szCs w:val="28"/>
        </w:rPr>
      </w:pPr>
    </w:p>
    <w:p w14:paraId="1C15AC19" w14:textId="77777777" w:rsidR="008E2DB7" w:rsidRDefault="008E2DB7" w:rsidP="008E2DB7">
      <w:pPr>
        <w:pStyle w:val="Textoindependiente31"/>
        <w:widowControl/>
        <w:spacing w:before="0"/>
        <w:ind w:left="-709" w:right="-851"/>
        <w:jc w:val="center"/>
        <w:rPr>
          <w:i/>
          <w:iCs/>
          <w:sz w:val="28"/>
          <w:szCs w:val="28"/>
        </w:rPr>
      </w:pPr>
    </w:p>
    <w:p w14:paraId="0677ED4A" w14:textId="77777777" w:rsidR="008E2DB7" w:rsidRDefault="008E2DB7" w:rsidP="008E2DB7">
      <w:pPr>
        <w:pStyle w:val="Textoindependiente31"/>
        <w:widowControl/>
        <w:spacing w:before="0"/>
        <w:ind w:left="-709" w:right="-851"/>
        <w:jc w:val="center"/>
        <w:rPr>
          <w:i/>
          <w:iCs/>
          <w:sz w:val="28"/>
          <w:szCs w:val="28"/>
        </w:rPr>
      </w:pPr>
    </w:p>
    <w:p w14:paraId="41D6D7D2" w14:textId="64853DE3" w:rsidR="008E2DB7" w:rsidRDefault="008E2DB7" w:rsidP="008E2DB7">
      <w:pPr>
        <w:jc w:val="center"/>
        <w:rPr>
          <w:rFonts w:ascii="Bookman Old Style" w:eastAsia="Bookman Old Style" w:hAnsi="Bookman Old Style" w:cs="Bookman Old Style"/>
          <w:b/>
          <w:lang w:eastAsia="es-AR"/>
        </w:rPr>
      </w:pPr>
    </w:p>
    <w:p w14:paraId="66A419E2" w14:textId="77777777" w:rsidR="008E2DB7" w:rsidRPr="00171777" w:rsidRDefault="008E2DB7" w:rsidP="008E2DB7">
      <w:pPr>
        <w:jc w:val="center"/>
        <w:rPr>
          <w:rFonts w:ascii="Bookman Old Style" w:eastAsia="Bookman Old Style" w:hAnsi="Bookman Old Style" w:cs="Bookman Old Style"/>
          <w:b/>
          <w:lang w:eastAsia="es-AR"/>
        </w:rPr>
      </w:pPr>
    </w:p>
    <w:p w14:paraId="6A226602" w14:textId="77777777" w:rsidR="008E2DB7" w:rsidRDefault="008E2DB7" w:rsidP="008E2DB7">
      <w:pPr>
        <w:tabs>
          <w:tab w:val="center" w:pos="4419"/>
          <w:tab w:val="right" w:pos="8838"/>
        </w:tabs>
        <w:jc w:val="center"/>
        <w:rPr>
          <w:b/>
          <w:sz w:val="52"/>
          <w:szCs w:val="52"/>
          <w:lang w:eastAsia="es-AR"/>
        </w:rPr>
      </w:pPr>
      <w:bookmarkStart w:id="0" w:name="_Hlk211203071"/>
      <w:r w:rsidRPr="00E555F2">
        <w:rPr>
          <w:b/>
          <w:sz w:val="52"/>
          <w:szCs w:val="52"/>
          <w:lang w:eastAsia="es-AR"/>
        </w:rPr>
        <w:t>PODER EJECUTIVO DE LA PROVINCIA DE JUJUY</w:t>
      </w:r>
    </w:p>
    <w:p w14:paraId="44B048F2" w14:textId="77777777" w:rsidR="008E2DB7" w:rsidRDefault="008E2DB7" w:rsidP="008E2DB7">
      <w:pPr>
        <w:tabs>
          <w:tab w:val="center" w:pos="4419"/>
          <w:tab w:val="right" w:pos="8838"/>
        </w:tabs>
        <w:jc w:val="center"/>
        <w:rPr>
          <w:b/>
          <w:sz w:val="52"/>
          <w:szCs w:val="52"/>
          <w:lang w:eastAsia="es-AR"/>
        </w:rPr>
      </w:pPr>
      <w:r>
        <w:rPr>
          <w:b/>
          <w:noProof/>
          <w:sz w:val="52"/>
          <w:szCs w:val="52"/>
          <w:lang w:val="en-US"/>
        </w:rPr>
        <w:drawing>
          <wp:inline distT="0" distB="0" distL="0" distR="0" wp14:anchorId="089FA4D5" wp14:editId="6F833028">
            <wp:extent cx="2152650" cy="2124075"/>
            <wp:effectExtent l="0" t="0" r="0" b="9525"/>
            <wp:docPr id="14051923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pic:spPr>
                </pic:pic>
              </a:graphicData>
            </a:graphic>
          </wp:inline>
        </w:drawing>
      </w:r>
    </w:p>
    <w:p w14:paraId="39EB4D2C" w14:textId="77777777" w:rsidR="008E2DB7" w:rsidRPr="00E555F2" w:rsidRDefault="008E2DB7" w:rsidP="008E2DB7">
      <w:pPr>
        <w:tabs>
          <w:tab w:val="center" w:pos="4419"/>
          <w:tab w:val="right" w:pos="8838"/>
        </w:tabs>
        <w:jc w:val="center"/>
        <w:rPr>
          <w:b/>
          <w:sz w:val="52"/>
          <w:szCs w:val="52"/>
          <w:lang w:eastAsia="es-AR"/>
        </w:rPr>
      </w:pPr>
    </w:p>
    <w:p w14:paraId="12FC61FC" w14:textId="5110E1B9" w:rsidR="008E2DB7" w:rsidRDefault="008E2DB7" w:rsidP="008E2DB7">
      <w:pPr>
        <w:tabs>
          <w:tab w:val="center" w:pos="4419"/>
          <w:tab w:val="right" w:pos="8838"/>
        </w:tabs>
        <w:jc w:val="center"/>
        <w:rPr>
          <w:b/>
          <w:sz w:val="52"/>
          <w:szCs w:val="52"/>
          <w:lang w:eastAsia="es-AR"/>
        </w:rPr>
      </w:pPr>
      <w:r w:rsidRPr="00E555F2">
        <w:rPr>
          <w:b/>
          <w:sz w:val="52"/>
          <w:szCs w:val="52"/>
          <w:lang w:eastAsia="es-AR"/>
        </w:rPr>
        <w:t>MINISTERIO DE   HACIENDA Y FINANZAS</w:t>
      </w:r>
    </w:p>
    <w:p w14:paraId="0FB04ABB" w14:textId="77777777" w:rsidR="0013483F" w:rsidRPr="00E555F2" w:rsidRDefault="0013483F" w:rsidP="008E2DB7">
      <w:pPr>
        <w:tabs>
          <w:tab w:val="center" w:pos="4419"/>
          <w:tab w:val="right" w:pos="8838"/>
        </w:tabs>
        <w:jc w:val="center"/>
        <w:rPr>
          <w:b/>
          <w:sz w:val="52"/>
          <w:szCs w:val="52"/>
          <w:lang w:eastAsia="es-AR"/>
        </w:rPr>
      </w:pPr>
    </w:p>
    <w:p w14:paraId="16DA6472" w14:textId="25E079EE" w:rsidR="008E2DB7" w:rsidRPr="00E555F2" w:rsidRDefault="008E2DB7" w:rsidP="0013483F">
      <w:pPr>
        <w:tabs>
          <w:tab w:val="center" w:pos="4419"/>
          <w:tab w:val="right" w:pos="8838"/>
        </w:tabs>
        <w:jc w:val="center"/>
        <w:rPr>
          <w:b/>
          <w:sz w:val="52"/>
          <w:szCs w:val="52"/>
          <w:lang w:eastAsia="es-AR"/>
        </w:rPr>
      </w:pPr>
      <w:r w:rsidRPr="00E555F2">
        <w:rPr>
          <w:b/>
          <w:sz w:val="52"/>
          <w:szCs w:val="52"/>
          <w:lang w:eastAsia="es-AR"/>
        </w:rPr>
        <w:t>SECRETARÍA DE INGRESOS PÚBLICOS</w:t>
      </w:r>
    </w:p>
    <w:p w14:paraId="534C31DE" w14:textId="317FC60C" w:rsidR="008E2DB7" w:rsidRPr="00E555F2" w:rsidRDefault="008E2DB7" w:rsidP="008E2DB7">
      <w:pPr>
        <w:tabs>
          <w:tab w:val="center" w:pos="4419"/>
          <w:tab w:val="right" w:pos="8838"/>
        </w:tabs>
        <w:jc w:val="center"/>
        <w:rPr>
          <w:b/>
          <w:sz w:val="52"/>
          <w:szCs w:val="52"/>
          <w:lang w:eastAsia="es-AR"/>
        </w:rPr>
      </w:pPr>
      <w:r w:rsidRPr="00E555F2">
        <w:rPr>
          <w:b/>
          <w:sz w:val="52"/>
          <w:szCs w:val="52"/>
          <w:lang w:eastAsia="es-AR"/>
        </w:rPr>
        <w:t>OFICINA DE CRÉDITO PÚBLICO</w:t>
      </w:r>
    </w:p>
    <w:bookmarkEnd w:id="0"/>
    <w:p w14:paraId="2D22044A" w14:textId="77777777" w:rsidR="008E2DB7" w:rsidRPr="00E555F2" w:rsidRDefault="008E2DB7" w:rsidP="008E2DB7">
      <w:pPr>
        <w:pStyle w:val="Textoindependiente31"/>
        <w:widowControl/>
        <w:spacing w:before="0"/>
        <w:ind w:left="-709" w:right="-851"/>
        <w:jc w:val="center"/>
        <w:rPr>
          <w:i/>
          <w:iCs/>
          <w:sz w:val="52"/>
          <w:szCs w:val="52"/>
        </w:rPr>
      </w:pPr>
    </w:p>
    <w:p w14:paraId="73BFB245" w14:textId="3FB0B828" w:rsidR="008E2DB7" w:rsidRDefault="008E2DB7" w:rsidP="00D95DDE">
      <w:pPr>
        <w:pStyle w:val="texto-articulo"/>
        <w:shd w:val="clear" w:color="auto" w:fill="FFFFFF"/>
        <w:spacing w:before="0" w:beforeAutospacing="0" w:after="150" w:afterAutospacing="0"/>
        <w:jc w:val="center"/>
        <w:rPr>
          <w:i/>
          <w:iCs/>
          <w:sz w:val="52"/>
          <w:szCs w:val="52"/>
          <w:lang w:val="es-ES" w:eastAsia="es-ES"/>
        </w:rPr>
      </w:pPr>
    </w:p>
    <w:p w14:paraId="7995AFEB" w14:textId="77777777" w:rsidR="008E2DB7" w:rsidRDefault="008E2DB7" w:rsidP="00D95DDE">
      <w:pPr>
        <w:pStyle w:val="texto-articulo"/>
        <w:shd w:val="clear" w:color="auto" w:fill="FFFFFF"/>
        <w:spacing w:before="0" w:beforeAutospacing="0" w:after="150" w:afterAutospacing="0"/>
        <w:jc w:val="center"/>
        <w:rPr>
          <w:b/>
          <w:bCs/>
          <w:color w:val="141414"/>
          <w:spacing w:val="-3"/>
          <w:sz w:val="28"/>
          <w:szCs w:val="28"/>
          <w:u w:val="single"/>
        </w:rPr>
      </w:pPr>
    </w:p>
    <w:p w14:paraId="6E2353DD" w14:textId="1CBCBA4C" w:rsidR="00D95DDE" w:rsidRPr="00AB3088" w:rsidRDefault="008E2DB7" w:rsidP="00D95DDE">
      <w:pPr>
        <w:pStyle w:val="texto-articulo"/>
        <w:shd w:val="clear" w:color="auto" w:fill="FFFFFF"/>
        <w:spacing w:before="0" w:beforeAutospacing="0" w:after="150" w:afterAutospacing="0"/>
        <w:jc w:val="center"/>
        <w:rPr>
          <w:b/>
          <w:bCs/>
          <w:color w:val="141414"/>
          <w:spacing w:val="-3"/>
          <w:sz w:val="28"/>
          <w:szCs w:val="28"/>
          <w:u w:val="single"/>
        </w:rPr>
      </w:pPr>
      <w:r>
        <w:rPr>
          <w:b/>
          <w:bCs/>
          <w:color w:val="141414"/>
          <w:spacing w:val="-3"/>
          <w:sz w:val="28"/>
          <w:szCs w:val="28"/>
          <w:u w:val="single"/>
        </w:rPr>
        <w:lastRenderedPageBreak/>
        <w:t>NORMATIVA BÁSICA</w:t>
      </w:r>
      <w:r w:rsidR="00D95DDE" w:rsidRPr="00AB3088">
        <w:rPr>
          <w:b/>
          <w:bCs/>
          <w:color w:val="141414"/>
          <w:spacing w:val="-3"/>
          <w:sz w:val="28"/>
          <w:szCs w:val="28"/>
          <w:u w:val="single"/>
        </w:rPr>
        <w:t xml:space="preserve"> SOBRE CRÉDITO PÚBLICO EN LA PROVINCIA DE JUJUY</w:t>
      </w:r>
    </w:p>
    <w:p w14:paraId="59AFF5F2" w14:textId="77777777" w:rsidR="007F73AD" w:rsidRDefault="007F73AD" w:rsidP="008E2DB7">
      <w:pPr>
        <w:pStyle w:val="texto-articulo"/>
        <w:shd w:val="clear" w:color="auto" w:fill="FFFFFF"/>
        <w:spacing w:before="0" w:beforeAutospacing="0" w:after="0" w:afterAutospacing="0" w:line="360" w:lineRule="auto"/>
        <w:jc w:val="both"/>
        <w:rPr>
          <w:color w:val="141414"/>
          <w:spacing w:val="-3"/>
        </w:rPr>
      </w:pPr>
      <w:bookmarkStart w:id="1" w:name="_GoBack"/>
      <w:bookmarkEnd w:id="1"/>
    </w:p>
    <w:p w14:paraId="4D03F22C" w14:textId="77777777" w:rsidR="00966B11" w:rsidRPr="008E2DB7" w:rsidRDefault="00966B11" w:rsidP="008E2DB7">
      <w:pPr>
        <w:pStyle w:val="texto-articulo"/>
        <w:shd w:val="clear" w:color="auto" w:fill="FFFFFF"/>
        <w:spacing w:before="0" w:beforeAutospacing="0" w:after="0" w:afterAutospacing="0" w:line="360" w:lineRule="auto"/>
        <w:jc w:val="both"/>
        <w:rPr>
          <w:color w:val="141414"/>
          <w:spacing w:val="-3"/>
        </w:rPr>
      </w:pPr>
    </w:p>
    <w:p w14:paraId="4BA5BD32" w14:textId="27D1A0C3" w:rsidR="00D95DDE" w:rsidRPr="00D95DDE" w:rsidRDefault="00D95DDE" w:rsidP="00D95DDE">
      <w:pPr>
        <w:pStyle w:val="texto-articulo"/>
        <w:shd w:val="clear" w:color="auto" w:fill="FFFFFF"/>
        <w:spacing w:before="0" w:beforeAutospacing="0" w:after="0" w:afterAutospacing="0" w:line="360" w:lineRule="auto"/>
        <w:jc w:val="both"/>
        <w:rPr>
          <w:color w:val="141414"/>
          <w:spacing w:val="-3"/>
        </w:rPr>
      </w:pPr>
      <w:r w:rsidRPr="00D95DDE">
        <w:rPr>
          <w:b/>
          <w:bCs/>
          <w:color w:val="141414"/>
          <w:spacing w:val="-3"/>
        </w:rPr>
        <w:t>1-CONSTITUCI</w:t>
      </w:r>
      <w:r w:rsidR="00C90EE0">
        <w:rPr>
          <w:b/>
          <w:bCs/>
          <w:color w:val="141414"/>
          <w:spacing w:val="-3"/>
        </w:rPr>
        <w:t>Ó</w:t>
      </w:r>
      <w:r w:rsidR="000F21BA">
        <w:rPr>
          <w:b/>
          <w:bCs/>
          <w:color w:val="141414"/>
          <w:spacing w:val="-3"/>
        </w:rPr>
        <w:t>N DE LA PROVINCIA DE JUJUY</w:t>
      </w:r>
    </w:p>
    <w:p w14:paraId="3AE37845" w14:textId="77777777" w:rsidR="00D95DDE" w:rsidRP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69A37972" w14:textId="77777777" w:rsidR="00D95DDE" w:rsidRPr="00D95DDE" w:rsidRDefault="00D95DDE" w:rsidP="00D95DDE">
      <w:pPr>
        <w:pStyle w:val="texto-articulo"/>
        <w:shd w:val="clear" w:color="auto" w:fill="FFFFFF"/>
        <w:spacing w:before="0" w:beforeAutospacing="0" w:after="0" w:afterAutospacing="0" w:line="360" w:lineRule="auto"/>
        <w:jc w:val="both"/>
        <w:rPr>
          <w:b/>
          <w:bCs/>
          <w:color w:val="141414"/>
          <w:spacing w:val="-3"/>
        </w:rPr>
      </w:pPr>
      <w:r w:rsidRPr="00D95DDE">
        <w:rPr>
          <w:b/>
          <w:bCs/>
          <w:color w:val="141414"/>
          <w:spacing w:val="-3"/>
        </w:rPr>
        <w:t xml:space="preserve">Artículo 101.- CRÉDITO PÚBLICO </w:t>
      </w:r>
    </w:p>
    <w:p w14:paraId="4D2EDF8B" w14:textId="4A39B916" w:rsidR="00D95DDE" w:rsidRPr="00D95DDE" w:rsidRDefault="00D95DDE" w:rsidP="00D95DDE">
      <w:pPr>
        <w:pStyle w:val="texto-articulo"/>
        <w:shd w:val="clear" w:color="auto" w:fill="FFFFFF"/>
        <w:spacing w:before="0" w:beforeAutospacing="0" w:after="0" w:afterAutospacing="0" w:line="360" w:lineRule="auto"/>
        <w:jc w:val="both"/>
        <w:rPr>
          <w:color w:val="141414"/>
          <w:spacing w:val="-3"/>
        </w:rPr>
      </w:pPr>
      <w:r>
        <w:rPr>
          <w:color w:val="141414"/>
          <w:spacing w:val="-3"/>
        </w:rPr>
        <w:t>“</w:t>
      </w:r>
      <w:r w:rsidRPr="00D95DDE">
        <w:rPr>
          <w:color w:val="141414"/>
          <w:spacing w:val="-3"/>
        </w:rPr>
        <w:t>1. La Legislatura podrá autorizar mediante ley especial sancionada por el voto de los dos tercios de la totalidad de sus miembros, a contraer empréstitos, captar fondos públicos y emitir bonos, con base y objeto determinados, no debiendo ser utilizados para equilibrar los gastos ordinarios de la administración. En ningún caso los servicios comprometerán más del veinte por ciento de los recursos de la Provincia ni el numerario obtenido podrá ser aplicado a otros destinos que los establecidos por la ley de su creación.</w:t>
      </w:r>
    </w:p>
    <w:p w14:paraId="1A42AF64" w14:textId="77777777" w:rsidR="00D95DDE" w:rsidRPr="00D95DDE" w:rsidRDefault="00D95DDE" w:rsidP="00D95DDE">
      <w:pPr>
        <w:pStyle w:val="texto-articulo"/>
        <w:shd w:val="clear" w:color="auto" w:fill="FFFFFF"/>
        <w:spacing w:before="0" w:beforeAutospacing="0" w:after="0" w:afterAutospacing="0" w:line="360" w:lineRule="auto"/>
        <w:jc w:val="both"/>
        <w:rPr>
          <w:color w:val="141414"/>
          <w:spacing w:val="-3"/>
        </w:rPr>
      </w:pPr>
      <w:r w:rsidRPr="00D95DDE">
        <w:rPr>
          <w:color w:val="141414"/>
          <w:spacing w:val="-3"/>
        </w:rPr>
        <w:t>2. La Provincia podrá contraer empréstitos, captar fondos públicos y emitir bonos con fines de promoción económica destinados a financiar obras o proyectos productivos y servicios específicamente planificados y cuyos servicios financieros deberán ser cubiertos por los rendimientos de las obras o los proyectos y servicios referidos. En estos casos, la ley que los autorice deberá ser aprobada por la mayoría absoluta de los miembros de la Legislatura.</w:t>
      </w:r>
    </w:p>
    <w:p w14:paraId="0B4F4548" w14:textId="02CFB8BD" w:rsidR="00D95DDE" w:rsidRDefault="00D95DDE" w:rsidP="00D95DDE">
      <w:pPr>
        <w:pStyle w:val="texto-articulo"/>
        <w:shd w:val="clear" w:color="auto" w:fill="FFFFFF"/>
        <w:spacing w:before="0" w:beforeAutospacing="0" w:after="0" w:afterAutospacing="0" w:line="360" w:lineRule="auto"/>
        <w:jc w:val="both"/>
        <w:rPr>
          <w:color w:val="141414"/>
          <w:spacing w:val="-3"/>
        </w:rPr>
      </w:pPr>
      <w:r w:rsidRPr="00D95DDE">
        <w:rPr>
          <w:color w:val="141414"/>
          <w:spacing w:val="-3"/>
        </w:rPr>
        <w:t>3. El Estado establecerá reglas generales de comportamiento fiscal</w:t>
      </w:r>
      <w:r>
        <w:rPr>
          <w:color w:val="141414"/>
          <w:spacing w:val="-3"/>
        </w:rPr>
        <w:t>”</w:t>
      </w:r>
      <w:r w:rsidRPr="00D95DDE">
        <w:rPr>
          <w:color w:val="141414"/>
          <w:spacing w:val="-3"/>
        </w:rPr>
        <w:t>.</w:t>
      </w:r>
    </w:p>
    <w:p w14:paraId="72A98F6E"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39E2E714"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1BFD0300"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52ED3ED6"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2C679B86"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5738FFC0"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77443382"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522895AD" w14:textId="77777777" w:rsidR="00D95DDE" w:rsidRDefault="00D95DDE" w:rsidP="00D95DDE">
      <w:pPr>
        <w:pStyle w:val="texto-articulo"/>
        <w:shd w:val="clear" w:color="auto" w:fill="FFFFFF"/>
        <w:spacing w:before="0" w:beforeAutospacing="0" w:after="0" w:afterAutospacing="0" w:line="360" w:lineRule="auto"/>
        <w:jc w:val="both"/>
        <w:rPr>
          <w:color w:val="141414"/>
          <w:spacing w:val="-3"/>
        </w:rPr>
      </w:pPr>
    </w:p>
    <w:p w14:paraId="6A99B596" w14:textId="23E00222" w:rsidR="00D95DDE" w:rsidRDefault="00D95DDE" w:rsidP="00D95DDE">
      <w:pPr>
        <w:pStyle w:val="texto-articulo"/>
        <w:shd w:val="clear" w:color="auto" w:fill="FFFFFF"/>
        <w:spacing w:before="0" w:beforeAutospacing="0" w:after="0" w:afterAutospacing="0" w:line="360" w:lineRule="auto"/>
        <w:jc w:val="both"/>
        <w:rPr>
          <w:color w:val="141414"/>
          <w:spacing w:val="-3"/>
        </w:rPr>
      </w:pPr>
    </w:p>
    <w:sectPr w:rsidR="00D95DDE" w:rsidSect="00AB3088">
      <w:footerReference w:type="default" r:id="rId8"/>
      <w:pgSz w:w="11906" w:h="16838"/>
      <w:pgMar w:top="1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7B7C" w14:textId="77777777" w:rsidR="00AB3088" w:rsidRDefault="00AB3088" w:rsidP="00AB3088">
      <w:pPr>
        <w:spacing w:after="0" w:line="240" w:lineRule="auto"/>
      </w:pPr>
      <w:r>
        <w:separator/>
      </w:r>
    </w:p>
  </w:endnote>
  <w:endnote w:type="continuationSeparator" w:id="0">
    <w:p w14:paraId="25E6925D" w14:textId="77777777" w:rsidR="00AB3088" w:rsidRDefault="00AB3088" w:rsidP="00AB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923471"/>
      <w:docPartObj>
        <w:docPartGallery w:val="Page Numbers (Bottom of Page)"/>
        <w:docPartUnique/>
      </w:docPartObj>
    </w:sdtPr>
    <w:sdtEndPr/>
    <w:sdtContent>
      <w:p w14:paraId="145AAC51" w14:textId="0E027E9E" w:rsidR="00966B11" w:rsidRDefault="00966B11">
        <w:pPr>
          <w:pStyle w:val="Piedepgina"/>
          <w:jc w:val="right"/>
        </w:pPr>
        <w:r>
          <w:fldChar w:fldCharType="begin"/>
        </w:r>
        <w:r>
          <w:instrText>PAGE   \* MERGEFORMAT</w:instrText>
        </w:r>
        <w:r>
          <w:fldChar w:fldCharType="separate"/>
        </w:r>
        <w:r w:rsidR="007F73AD" w:rsidRPr="007F73AD">
          <w:rPr>
            <w:noProof/>
            <w:lang w:val="es-ES"/>
          </w:rPr>
          <w:t>1</w:t>
        </w:r>
        <w:r>
          <w:fldChar w:fldCharType="end"/>
        </w:r>
      </w:p>
    </w:sdtContent>
  </w:sdt>
  <w:p w14:paraId="6776048D" w14:textId="77777777" w:rsidR="00966B11" w:rsidRDefault="00966B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CCB89" w14:textId="77777777" w:rsidR="00AB3088" w:rsidRDefault="00AB3088" w:rsidP="00AB3088">
      <w:pPr>
        <w:spacing w:after="0" w:line="240" w:lineRule="auto"/>
      </w:pPr>
      <w:r>
        <w:separator/>
      </w:r>
    </w:p>
  </w:footnote>
  <w:footnote w:type="continuationSeparator" w:id="0">
    <w:p w14:paraId="11330FAF" w14:textId="77777777" w:rsidR="00AB3088" w:rsidRDefault="00AB3088" w:rsidP="00AB3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DE"/>
    <w:rsid w:val="000F21BA"/>
    <w:rsid w:val="0013483F"/>
    <w:rsid w:val="00325BBE"/>
    <w:rsid w:val="00354F15"/>
    <w:rsid w:val="00426BAA"/>
    <w:rsid w:val="00567EB5"/>
    <w:rsid w:val="005B3035"/>
    <w:rsid w:val="007A170F"/>
    <w:rsid w:val="007F73AD"/>
    <w:rsid w:val="008E2DB7"/>
    <w:rsid w:val="00966B11"/>
    <w:rsid w:val="00AB3088"/>
    <w:rsid w:val="00B55AC9"/>
    <w:rsid w:val="00C90EE0"/>
    <w:rsid w:val="00D50230"/>
    <w:rsid w:val="00D95C4F"/>
    <w:rsid w:val="00D95DDE"/>
    <w:rsid w:val="00EB17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E3195"/>
  <w15:chartTrackingRefBased/>
  <w15:docId w15:val="{3A3D19C9-60B9-4991-B194-D950BD4A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95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5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5D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5D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5D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5D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5D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5D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5D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5D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95D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95D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95D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95D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95D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5D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5D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5DDE"/>
    <w:rPr>
      <w:rFonts w:eastAsiaTheme="majorEastAsia" w:cstheme="majorBidi"/>
      <w:color w:val="272727" w:themeColor="text1" w:themeTint="D8"/>
    </w:rPr>
  </w:style>
  <w:style w:type="paragraph" w:styleId="Ttulo">
    <w:name w:val="Title"/>
    <w:basedOn w:val="Normal"/>
    <w:next w:val="Normal"/>
    <w:link w:val="TtuloCar"/>
    <w:uiPriority w:val="10"/>
    <w:qFormat/>
    <w:rsid w:val="00D9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5D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5D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5D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5DDE"/>
    <w:pPr>
      <w:spacing w:before="160"/>
      <w:jc w:val="center"/>
    </w:pPr>
    <w:rPr>
      <w:i/>
      <w:iCs/>
      <w:color w:val="404040" w:themeColor="text1" w:themeTint="BF"/>
    </w:rPr>
  </w:style>
  <w:style w:type="character" w:customStyle="1" w:styleId="CitaCar">
    <w:name w:val="Cita Car"/>
    <w:basedOn w:val="Fuentedeprrafopredeter"/>
    <w:link w:val="Cita"/>
    <w:uiPriority w:val="29"/>
    <w:rsid w:val="00D95DDE"/>
    <w:rPr>
      <w:i/>
      <w:iCs/>
      <w:color w:val="404040" w:themeColor="text1" w:themeTint="BF"/>
    </w:rPr>
  </w:style>
  <w:style w:type="paragraph" w:styleId="Prrafodelista">
    <w:name w:val="List Paragraph"/>
    <w:basedOn w:val="Normal"/>
    <w:uiPriority w:val="34"/>
    <w:qFormat/>
    <w:rsid w:val="00D95DDE"/>
    <w:pPr>
      <w:ind w:left="720"/>
      <w:contextualSpacing/>
    </w:pPr>
  </w:style>
  <w:style w:type="character" w:styleId="nfasisintenso">
    <w:name w:val="Intense Emphasis"/>
    <w:basedOn w:val="Fuentedeprrafopredeter"/>
    <w:uiPriority w:val="21"/>
    <w:qFormat/>
    <w:rsid w:val="00D95DDE"/>
    <w:rPr>
      <w:i/>
      <w:iCs/>
      <w:color w:val="2F5496" w:themeColor="accent1" w:themeShade="BF"/>
    </w:rPr>
  </w:style>
  <w:style w:type="paragraph" w:styleId="Citadestacada">
    <w:name w:val="Intense Quote"/>
    <w:basedOn w:val="Normal"/>
    <w:next w:val="Normal"/>
    <w:link w:val="CitadestacadaCar"/>
    <w:uiPriority w:val="30"/>
    <w:qFormat/>
    <w:rsid w:val="00D95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5DDE"/>
    <w:rPr>
      <w:i/>
      <w:iCs/>
      <w:color w:val="2F5496" w:themeColor="accent1" w:themeShade="BF"/>
    </w:rPr>
  </w:style>
  <w:style w:type="character" w:styleId="Referenciaintensa">
    <w:name w:val="Intense Reference"/>
    <w:basedOn w:val="Fuentedeprrafopredeter"/>
    <w:uiPriority w:val="32"/>
    <w:qFormat/>
    <w:rsid w:val="00D95DDE"/>
    <w:rPr>
      <w:b/>
      <w:bCs/>
      <w:smallCaps/>
      <w:color w:val="2F5496" w:themeColor="accent1" w:themeShade="BF"/>
      <w:spacing w:val="5"/>
    </w:rPr>
  </w:style>
  <w:style w:type="paragraph" w:customStyle="1" w:styleId="texto-articulo">
    <w:name w:val="texto-articulo"/>
    <w:basedOn w:val="Normal"/>
    <w:rsid w:val="00D95DDE"/>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NormalWeb">
    <w:name w:val="Normal (Web)"/>
    <w:basedOn w:val="Normal"/>
    <w:uiPriority w:val="99"/>
    <w:semiHidden/>
    <w:unhideWhenUsed/>
    <w:rsid w:val="00C90EE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C90EE0"/>
    <w:rPr>
      <w:b/>
      <w:bCs/>
    </w:rPr>
  </w:style>
  <w:style w:type="paragraph" w:styleId="Encabezado">
    <w:name w:val="header"/>
    <w:basedOn w:val="Normal"/>
    <w:link w:val="EncabezadoCar"/>
    <w:uiPriority w:val="99"/>
    <w:unhideWhenUsed/>
    <w:rsid w:val="00AB3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3088"/>
  </w:style>
  <w:style w:type="paragraph" w:styleId="Piedepgina">
    <w:name w:val="footer"/>
    <w:basedOn w:val="Normal"/>
    <w:link w:val="PiedepginaCar"/>
    <w:uiPriority w:val="99"/>
    <w:unhideWhenUsed/>
    <w:rsid w:val="00AB3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3088"/>
  </w:style>
  <w:style w:type="paragraph" w:customStyle="1" w:styleId="Textoindependiente31">
    <w:name w:val="Texto independiente 31"/>
    <w:basedOn w:val="Normal"/>
    <w:rsid w:val="008E2DB7"/>
    <w:pPr>
      <w:widowControl w:val="0"/>
      <w:spacing w:before="120" w:after="0" w:line="240" w:lineRule="auto"/>
      <w:jc w:val="both"/>
    </w:pPr>
    <w:rPr>
      <w:rFonts w:ascii="Times New Roman" w:eastAsia="Times New Roman" w:hAnsi="Times New Roman" w:cs="Times New Roman"/>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274B-25E4-4C25-856C-59E53725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200</Words>
  <Characters>1143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Balangero</dc:creator>
  <cp:keywords/>
  <dc:description/>
  <cp:lastModifiedBy>user</cp:lastModifiedBy>
  <cp:revision>6</cp:revision>
  <dcterms:created xsi:type="dcterms:W3CDTF">2025-10-08T09:40:00Z</dcterms:created>
  <dcterms:modified xsi:type="dcterms:W3CDTF">2026-03-03T14:21:00Z</dcterms:modified>
</cp:coreProperties>
</file>